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812"/>
      </w:tblGrid>
      <w:tr w:rsidR="003F3C50" w:rsidRPr="00B63086" w14:paraId="78DC72AC" w14:textId="77777777" w:rsidTr="00062F27">
        <w:tc>
          <w:tcPr>
            <w:tcW w:w="9812" w:type="dxa"/>
          </w:tcPr>
          <w:p w14:paraId="694A64F1" w14:textId="77777777" w:rsidR="003F3C50" w:rsidRPr="00B63086" w:rsidRDefault="003F3C50" w:rsidP="00B63086">
            <w:pPr>
              <w:spacing w:before="120" w:after="120"/>
              <w:jc w:val="both"/>
              <w:rPr>
                <w:rFonts w:ascii="Arial" w:hAnsi="Arial" w:cs="Arial"/>
                <w:b/>
                <w:sz w:val="24"/>
              </w:rPr>
            </w:pPr>
            <w:r w:rsidRPr="00B63086">
              <w:rPr>
                <w:rFonts w:ascii="Arial" w:hAnsi="Arial" w:cs="Arial"/>
                <w:b/>
                <w:sz w:val="24"/>
              </w:rPr>
              <w:t>IMPORTANT/DISCLAIMER</w:t>
            </w:r>
          </w:p>
          <w:p w14:paraId="660F6D2E" w14:textId="77777777" w:rsidR="003F3C50" w:rsidRPr="00B63086" w:rsidRDefault="003F3C50" w:rsidP="00B63086">
            <w:pPr>
              <w:spacing w:before="120" w:after="120"/>
              <w:jc w:val="both"/>
              <w:rPr>
                <w:rFonts w:ascii="Arial" w:hAnsi="Arial" w:cs="Arial"/>
                <w:sz w:val="24"/>
              </w:rPr>
            </w:pPr>
            <w:r w:rsidRPr="00B63086">
              <w:rPr>
                <w:rFonts w:ascii="Arial" w:hAnsi="Arial" w:cs="Arial"/>
                <w:b/>
                <w:sz w:val="24"/>
              </w:rPr>
              <w:t xml:space="preserve">THIS IS AN INVESTMENT ACCOUNT </w:t>
            </w:r>
            <w:r w:rsidR="006B7EE9" w:rsidRPr="00B63086">
              <w:rPr>
                <w:rFonts w:ascii="Arial" w:hAnsi="Arial" w:cs="Arial"/>
                <w:b/>
                <w:sz w:val="24"/>
              </w:rPr>
              <w:t xml:space="preserve">PLATFORM </w:t>
            </w:r>
            <w:r w:rsidRPr="00B63086">
              <w:rPr>
                <w:rFonts w:ascii="Arial" w:hAnsi="Arial" w:cs="Arial"/>
                <w:b/>
                <w:sz w:val="24"/>
              </w:rPr>
              <w:t>PRODUCT THAT IS TIED TO THE PERFORMANCE OF THE UNDERLYING ASSETS, AND IT IS NOT A DEPOSIT PRODUCT</w:t>
            </w:r>
          </w:p>
        </w:tc>
      </w:tr>
      <w:tr w:rsidR="003F3C50" w:rsidRPr="00B63086" w14:paraId="6A3D2000" w14:textId="77777777" w:rsidTr="00062F27">
        <w:tc>
          <w:tcPr>
            <w:tcW w:w="9812" w:type="dxa"/>
          </w:tcPr>
          <w:p w14:paraId="3C281F14" w14:textId="77777777" w:rsidR="003F3C50" w:rsidRPr="00B63086" w:rsidRDefault="003F3C50">
            <w:pPr>
              <w:rPr>
                <w:rFonts w:ascii="Arial" w:hAnsi="Arial" w:cs="Arial"/>
                <w:sz w:val="24"/>
              </w:rPr>
            </w:pPr>
          </w:p>
        </w:tc>
      </w:tr>
      <w:tr w:rsidR="003F3C50" w:rsidRPr="00B63086" w14:paraId="43020F63" w14:textId="77777777" w:rsidTr="00062F27">
        <w:tc>
          <w:tcPr>
            <w:tcW w:w="9812" w:type="dxa"/>
          </w:tcPr>
          <w:p w14:paraId="460182C1" w14:textId="77777777" w:rsidR="003F3C50" w:rsidRPr="00B63086" w:rsidRDefault="003F3C50" w:rsidP="00B63086">
            <w:pPr>
              <w:spacing w:before="120" w:after="120"/>
              <w:jc w:val="center"/>
              <w:rPr>
                <w:rFonts w:ascii="Arial" w:hAnsi="Arial" w:cs="Arial"/>
                <w:b/>
                <w:sz w:val="24"/>
              </w:rPr>
            </w:pPr>
            <w:r w:rsidRPr="00B63086">
              <w:rPr>
                <w:rFonts w:ascii="Arial" w:hAnsi="Arial" w:cs="Arial"/>
                <w:b/>
                <w:sz w:val="24"/>
              </w:rPr>
              <w:t>PRODUCT DISCLOSURE SHEET</w:t>
            </w:r>
          </w:p>
        </w:tc>
      </w:tr>
      <w:tr w:rsidR="003F3C50" w:rsidRPr="00B63086" w14:paraId="6412DCED" w14:textId="77777777" w:rsidTr="00062F27">
        <w:tc>
          <w:tcPr>
            <w:tcW w:w="9812" w:type="dxa"/>
          </w:tcPr>
          <w:p w14:paraId="41152AAC" w14:textId="77777777" w:rsidR="003F3C50" w:rsidRPr="00B63086" w:rsidRDefault="003F3C50" w:rsidP="00C07359">
            <w:pPr>
              <w:jc w:val="both"/>
              <w:rPr>
                <w:rFonts w:ascii="Arial" w:hAnsi="Arial" w:cs="Arial"/>
                <w:sz w:val="24"/>
              </w:rPr>
            </w:pPr>
            <w:r w:rsidRPr="00B63086">
              <w:rPr>
                <w:rFonts w:ascii="Arial" w:hAnsi="Arial" w:cs="Arial"/>
                <w:sz w:val="24"/>
              </w:rPr>
              <w:t>P</w:t>
            </w:r>
            <w:r w:rsidR="006B7EE9" w:rsidRPr="00B63086">
              <w:rPr>
                <w:rFonts w:ascii="Arial" w:hAnsi="Arial" w:cs="Arial"/>
                <w:sz w:val="24"/>
              </w:rPr>
              <w:t xml:space="preserve">lease read and understand this Product Disclosure Sheet together with the </w:t>
            </w:r>
            <w:r w:rsidR="00B713EF" w:rsidRPr="00B63086">
              <w:rPr>
                <w:rFonts w:ascii="Arial" w:hAnsi="Arial" w:cs="Arial"/>
                <w:sz w:val="24"/>
              </w:rPr>
              <w:t xml:space="preserve">Information Memorandum dated </w:t>
            </w:r>
            <w:r w:rsidR="00C07359" w:rsidRPr="00C07359">
              <w:rPr>
                <w:rFonts w:ascii="Arial" w:hAnsi="Arial" w:cs="Arial"/>
                <w:sz w:val="24"/>
                <w:highlight w:val="yellow"/>
              </w:rPr>
              <w:t>[ ]</w:t>
            </w:r>
            <w:r w:rsidR="00B713EF" w:rsidRPr="00B63086">
              <w:rPr>
                <w:rFonts w:ascii="Arial" w:hAnsi="Arial" w:cs="Arial"/>
                <w:sz w:val="24"/>
              </w:rPr>
              <w:t xml:space="preserve"> </w:t>
            </w:r>
            <w:r w:rsidR="00650A7B">
              <w:rPr>
                <w:rFonts w:ascii="Arial" w:hAnsi="Arial" w:cs="Arial"/>
                <w:sz w:val="24"/>
              </w:rPr>
              <w:t>(“</w:t>
            </w:r>
            <w:r w:rsidR="00650A7B" w:rsidRPr="00B50AE8">
              <w:rPr>
                <w:rFonts w:ascii="Arial" w:hAnsi="Arial" w:cs="Arial"/>
                <w:b/>
                <w:sz w:val="24"/>
              </w:rPr>
              <w:t>Information Memorandum</w:t>
            </w:r>
            <w:r w:rsidR="00650A7B">
              <w:rPr>
                <w:rFonts w:ascii="Arial" w:hAnsi="Arial" w:cs="Arial"/>
                <w:sz w:val="24"/>
              </w:rPr>
              <w:t xml:space="preserve">”) </w:t>
            </w:r>
            <w:r w:rsidR="00B713EF" w:rsidRPr="00B63086">
              <w:rPr>
                <w:rFonts w:ascii="Arial" w:hAnsi="Arial" w:cs="Arial"/>
                <w:sz w:val="24"/>
              </w:rPr>
              <w:t xml:space="preserve">in relation to </w:t>
            </w:r>
            <w:r w:rsidR="00C07359">
              <w:rPr>
                <w:rFonts w:ascii="Arial" w:hAnsi="Arial" w:cs="Arial"/>
                <w:sz w:val="24"/>
              </w:rPr>
              <w:t>CMC Group Sdn Bhd</w:t>
            </w:r>
            <w:r w:rsidR="00B713EF" w:rsidRPr="00B63086">
              <w:rPr>
                <w:rFonts w:ascii="Arial" w:hAnsi="Arial" w:cs="Arial"/>
                <w:sz w:val="24"/>
              </w:rPr>
              <w:t xml:space="preserve"> </w:t>
            </w:r>
            <w:r w:rsidR="007F3146" w:rsidRPr="00B63086">
              <w:rPr>
                <w:rFonts w:ascii="Arial" w:hAnsi="Arial" w:cs="Arial"/>
                <w:sz w:val="24"/>
              </w:rPr>
              <w:t>and the General Terms and Conditions before you decide to participate in this Investment Account.</w:t>
            </w:r>
          </w:p>
        </w:tc>
      </w:tr>
      <w:tr w:rsidR="007F3146" w:rsidRPr="00B63086" w14:paraId="50DEBEEA" w14:textId="77777777" w:rsidTr="00062F27">
        <w:tc>
          <w:tcPr>
            <w:tcW w:w="9812" w:type="dxa"/>
          </w:tcPr>
          <w:p w14:paraId="42B26523" w14:textId="77777777" w:rsidR="007F3146" w:rsidRPr="00B63086" w:rsidRDefault="007F3146" w:rsidP="00B63086">
            <w:pPr>
              <w:jc w:val="both"/>
              <w:rPr>
                <w:rFonts w:ascii="Arial" w:hAnsi="Arial" w:cs="Arial"/>
                <w:sz w:val="24"/>
              </w:rPr>
            </w:pPr>
          </w:p>
        </w:tc>
      </w:tr>
      <w:tr w:rsidR="007F3146" w:rsidRPr="00B63086" w14:paraId="6BB39E94" w14:textId="77777777" w:rsidTr="00062F27">
        <w:tc>
          <w:tcPr>
            <w:tcW w:w="9812" w:type="dxa"/>
          </w:tcPr>
          <w:p w14:paraId="0C4EF0A0" w14:textId="77777777" w:rsidR="007F3146" w:rsidRPr="00362175" w:rsidRDefault="00C07359" w:rsidP="00B63086">
            <w:pPr>
              <w:jc w:val="center"/>
              <w:rPr>
                <w:rFonts w:ascii="Arial" w:hAnsi="Arial" w:cs="Arial"/>
                <w:b/>
                <w:i/>
                <w:iCs/>
                <w:color w:val="404040"/>
                <w:sz w:val="24"/>
                <w:szCs w:val="20"/>
              </w:rPr>
            </w:pPr>
            <w:r>
              <w:rPr>
                <w:rFonts w:ascii="Arial" w:hAnsi="Arial" w:cs="Arial"/>
                <w:b/>
                <w:sz w:val="24"/>
              </w:rPr>
              <w:t>CMC GROUP SDN BHD</w:t>
            </w:r>
          </w:p>
          <w:p w14:paraId="4B71E6E4" w14:textId="77777777" w:rsidR="00B713EF" w:rsidRPr="00362175" w:rsidRDefault="00B713EF" w:rsidP="00C07359">
            <w:pPr>
              <w:jc w:val="center"/>
              <w:rPr>
                <w:rFonts w:ascii="Arial" w:hAnsi="Arial" w:cs="Arial"/>
                <w:b/>
                <w:sz w:val="24"/>
              </w:rPr>
            </w:pPr>
            <w:r w:rsidRPr="00362175">
              <w:rPr>
                <w:rFonts w:ascii="Arial" w:hAnsi="Arial" w:cs="Arial"/>
                <w:b/>
                <w:sz w:val="24"/>
              </w:rPr>
              <w:t>PROJECT ID</w:t>
            </w:r>
            <w:r w:rsidR="00362175" w:rsidRPr="00362175">
              <w:rPr>
                <w:rFonts w:ascii="Arial" w:hAnsi="Arial" w:cs="Arial"/>
                <w:b/>
                <w:sz w:val="24"/>
              </w:rPr>
              <w:t xml:space="preserve">: </w:t>
            </w:r>
            <w:r w:rsidR="00C07359" w:rsidRPr="00C07359">
              <w:rPr>
                <w:rFonts w:ascii="Arial" w:hAnsi="Arial" w:cs="Arial"/>
                <w:b/>
                <w:sz w:val="24"/>
                <w:highlight w:val="yellow"/>
              </w:rPr>
              <w:t>[ ]</w:t>
            </w:r>
          </w:p>
        </w:tc>
      </w:tr>
      <w:tr w:rsidR="007F3146" w:rsidRPr="00B63086" w14:paraId="3B6BB8D4" w14:textId="77777777" w:rsidTr="00062F27">
        <w:tc>
          <w:tcPr>
            <w:tcW w:w="9812" w:type="dxa"/>
          </w:tcPr>
          <w:p w14:paraId="64D7873A" w14:textId="77777777" w:rsidR="007F3146" w:rsidRPr="00362175" w:rsidRDefault="00C07359" w:rsidP="00362175">
            <w:pPr>
              <w:jc w:val="center"/>
              <w:rPr>
                <w:rFonts w:ascii="Arial" w:hAnsi="Arial" w:cs="Arial"/>
                <w:b/>
                <w:sz w:val="24"/>
              </w:rPr>
            </w:pPr>
            <w:r w:rsidRPr="00C07359">
              <w:rPr>
                <w:rFonts w:ascii="Arial" w:hAnsi="Arial" w:cs="Arial"/>
                <w:b/>
                <w:sz w:val="24"/>
                <w:highlight w:val="yellow"/>
              </w:rPr>
              <w:t>Date [ ]</w:t>
            </w:r>
          </w:p>
        </w:tc>
      </w:tr>
      <w:tr w:rsidR="007F3146" w:rsidRPr="00B63086" w14:paraId="0CFE06DE" w14:textId="77777777" w:rsidTr="00062F27">
        <w:tc>
          <w:tcPr>
            <w:tcW w:w="9812" w:type="dxa"/>
          </w:tcPr>
          <w:p w14:paraId="2E9E610D" w14:textId="77777777" w:rsidR="007F3146" w:rsidRPr="00B63086" w:rsidRDefault="007F3146" w:rsidP="00B63086">
            <w:pPr>
              <w:jc w:val="center"/>
              <w:rPr>
                <w:rFonts w:ascii="Arial" w:hAnsi="Arial" w:cs="Arial"/>
                <w:sz w:val="24"/>
              </w:rPr>
            </w:pPr>
          </w:p>
        </w:tc>
      </w:tr>
      <w:tr w:rsidR="007F3146" w:rsidRPr="00B63086" w14:paraId="06E27AE0" w14:textId="77777777" w:rsidTr="00062F27">
        <w:tc>
          <w:tcPr>
            <w:tcW w:w="9812" w:type="dxa"/>
            <w:shd w:val="clear" w:color="auto" w:fill="000000"/>
          </w:tcPr>
          <w:p w14:paraId="085A2FA5" w14:textId="77777777" w:rsidR="007F3146" w:rsidRPr="00B63086" w:rsidRDefault="007F3146" w:rsidP="00B63086">
            <w:pPr>
              <w:spacing w:before="120" w:after="120"/>
              <w:jc w:val="center"/>
              <w:rPr>
                <w:rFonts w:ascii="Arial" w:hAnsi="Arial" w:cs="Arial"/>
                <w:b/>
                <w:sz w:val="24"/>
              </w:rPr>
            </w:pPr>
            <w:r w:rsidRPr="00B63086">
              <w:rPr>
                <w:rFonts w:ascii="Arial" w:hAnsi="Arial" w:cs="Arial"/>
                <w:b/>
                <w:sz w:val="24"/>
              </w:rPr>
              <w:t>BRIEF INFORMATION ON THE PRODUCT</w:t>
            </w:r>
          </w:p>
        </w:tc>
      </w:tr>
      <w:tr w:rsidR="004A12E3" w:rsidRPr="00B63086" w14:paraId="7CF4C3F9" w14:textId="77777777" w:rsidTr="00062F27">
        <w:tc>
          <w:tcPr>
            <w:tcW w:w="9812" w:type="dxa"/>
          </w:tcPr>
          <w:p w14:paraId="3990A41D" w14:textId="77777777" w:rsidR="004A12E3" w:rsidRPr="00B63086" w:rsidRDefault="004A12E3" w:rsidP="004A12E3">
            <w:pPr>
              <w:rPr>
                <w:rFonts w:ascii="Arial" w:hAnsi="Arial" w:cs="Arial"/>
                <w:sz w:val="24"/>
              </w:rPr>
            </w:pPr>
          </w:p>
        </w:tc>
      </w:tr>
      <w:tr w:rsidR="004A12E3" w:rsidRPr="00B63086" w14:paraId="414BF1E6" w14:textId="77777777" w:rsidTr="00062F27">
        <w:tc>
          <w:tcPr>
            <w:tcW w:w="9812" w:type="dxa"/>
            <w:shd w:val="clear" w:color="auto" w:fill="000000"/>
          </w:tcPr>
          <w:p w14:paraId="550F26AF" w14:textId="77777777" w:rsidR="004A12E3" w:rsidRPr="00B63086" w:rsidRDefault="00EC3786" w:rsidP="00B63086">
            <w:pPr>
              <w:pStyle w:val="ListParagraph"/>
              <w:numPr>
                <w:ilvl w:val="0"/>
                <w:numId w:val="1"/>
              </w:numPr>
              <w:spacing w:before="120" w:after="120"/>
              <w:ind w:left="360"/>
              <w:rPr>
                <w:rFonts w:ascii="Arial" w:hAnsi="Arial" w:cs="Arial"/>
                <w:b/>
                <w:sz w:val="24"/>
              </w:rPr>
            </w:pPr>
            <w:r w:rsidRPr="00B63086">
              <w:rPr>
                <w:rFonts w:ascii="Arial" w:hAnsi="Arial" w:cs="Arial"/>
                <w:b/>
                <w:sz w:val="24"/>
              </w:rPr>
              <w:t>What is this product about?</w:t>
            </w:r>
          </w:p>
        </w:tc>
      </w:tr>
      <w:tr w:rsidR="00E07AFE" w:rsidRPr="00B63086" w14:paraId="7239C5D9" w14:textId="77777777" w:rsidTr="00062F27">
        <w:tc>
          <w:tcPr>
            <w:tcW w:w="9812" w:type="dxa"/>
          </w:tcPr>
          <w:p w14:paraId="198BD4BB" w14:textId="77777777" w:rsidR="00E07AFE" w:rsidRPr="00B63086" w:rsidRDefault="00E07AF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020"/>
            </w:tblGrid>
            <w:tr w:rsidR="00E07AFE" w:rsidRPr="00B63086" w14:paraId="7B72116A" w14:textId="77777777" w:rsidTr="00E12D73">
              <w:trPr>
                <w:trHeight w:val="64"/>
              </w:trPr>
              <w:tc>
                <w:tcPr>
                  <w:tcW w:w="2605" w:type="dxa"/>
                  <w:shd w:val="clear" w:color="auto" w:fill="D9D9D9" w:themeFill="background1" w:themeFillShade="D9"/>
                </w:tcPr>
                <w:p w14:paraId="246CCB0C" w14:textId="77777777" w:rsidR="00E07AFE" w:rsidRPr="00B63086" w:rsidRDefault="00E07AFE" w:rsidP="001C7A1D">
                  <w:pPr>
                    <w:pStyle w:val="ListParagraph"/>
                    <w:spacing w:before="120" w:after="120"/>
                    <w:ind w:left="0"/>
                    <w:contextualSpacing w:val="0"/>
                    <w:rPr>
                      <w:rFonts w:ascii="Arial" w:hAnsi="Arial" w:cs="Arial"/>
                      <w:b/>
                      <w:sz w:val="24"/>
                    </w:rPr>
                  </w:pPr>
                  <w:r w:rsidRPr="00B63086">
                    <w:rPr>
                      <w:rFonts w:ascii="Arial" w:hAnsi="Arial" w:cs="Arial"/>
                      <w:b/>
                      <w:sz w:val="24"/>
                    </w:rPr>
                    <w:t xml:space="preserve">Product </w:t>
                  </w:r>
                </w:p>
              </w:tc>
              <w:tc>
                <w:tcPr>
                  <w:tcW w:w="7020" w:type="dxa"/>
                </w:tcPr>
                <w:p w14:paraId="7CB65F47" w14:textId="77777777" w:rsidR="00EB0524" w:rsidRPr="00B63086" w:rsidRDefault="00EB0524" w:rsidP="001C7A1D">
                  <w:pPr>
                    <w:pStyle w:val="ListParagraph"/>
                    <w:spacing w:before="120" w:after="120"/>
                    <w:ind w:left="0"/>
                    <w:contextualSpacing w:val="0"/>
                    <w:rPr>
                      <w:rFonts w:ascii="Arial" w:hAnsi="Arial" w:cs="Arial"/>
                      <w:sz w:val="24"/>
                    </w:rPr>
                  </w:pPr>
                  <w:r w:rsidRPr="00B63086">
                    <w:rPr>
                      <w:rFonts w:ascii="Arial" w:hAnsi="Arial" w:cs="Arial"/>
                      <w:sz w:val="24"/>
                    </w:rPr>
                    <w:t>Restricted Investment Account</w:t>
                  </w:r>
                </w:p>
              </w:tc>
            </w:tr>
            <w:tr w:rsidR="00E07AFE" w:rsidRPr="00B63086" w14:paraId="1A372DB5" w14:textId="77777777" w:rsidTr="00E93717">
              <w:trPr>
                <w:trHeight w:val="2879"/>
              </w:trPr>
              <w:tc>
                <w:tcPr>
                  <w:tcW w:w="2605" w:type="dxa"/>
                  <w:shd w:val="clear" w:color="auto" w:fill="D9D9D9" w:themeFill="background1" w:themeFillShade="D9"/>
                </w:tcPr>
                <w:p w14:paraId="6212FBA1" w14:textId="77777777" w:rsidR="00E07AFE" w:rsidRPr="00B63086" w:rsidRDefault="00E07AFE" w:rsidP="001C7A1D">
                  <w:pPr>
                    <w:pStyle w:val="ListParagraph"/>
                    <w:spacing w:before="120" w:after="120"/>
                    <w:ind w:left="0"/>
                    <w:contextualSpacing w:val="0"/>
                    <w:rPr>
                      <w:rFonts w:ascii="Arial" w:hAnsi="Arial" w:cs="Arial"/>
                      <w:b/>
                      <w:sz w:val="24"/>
                    </w:rPr>
                  </w:pPr>
                  <w:r w:rsidRPr="00B63086">
                    <w:rPr>
                      <w:rFonts w:ascii="Arial" w:hAnsi="Arial" w:cs="Arial"/>
                      <w:b/>
                      <w:sz w:val="24"/>
                    </w:rPr>
                    <w:t xml:space="preserve">Applicable Shariah Contract </w:t>
                  </w:r>
                </w:p>
              </w:tc>
              <w:tc>
                <w:tcPr>
                  <w:tcW w:w="7020" w:type="dxa"/>
                </w:tcPr>
                <w:p w14:paraId="0D4C2D87" w14:textId="77777777" w:rsidR="00E60B8B" w:rsidRPr="00B63086" w:rsidRDefault="005C3881" w:rsidP="001C7A1D">
                  <w:pPr>
                    <w:spacing w:before="120" w:after="120"/>
                    <w:jc w:val="both"/>
                    <w:rPr>
                      <w:rFonts w:ascii="Arial" w:hAnsi="Arial" w:cs="Arial"/>
                      <w:b/>
                      <w:bCs/>
                      <w:iCs/>
                      <w:sz w:val="24"/>
                      <w:lang w:val="ms-MY"/>
                    </w:rPr>
                  </w:pPr>
                  <w:r w:rsidRPr="00B63086">
                    <w:rPr>
                      <w:rFonts w:ascii="Arial" w:hAnsi="Arial" w:cs="Arial"/>
                      <w:b/>
                      <w:bCs/>
                      <w:iCs/>
                      <w:sz w:val="24"/>
                      <w:lang w:val="ms-MY"/>
                    </w:rPr>
                    <w:t xml:space="preserve">“Wakalah” </w:t>
                  </w:r>
                  <w:r w:rsidRPr="00B63086">
                    <w:rPr>
                      <w:rFonts w:ascii="Arial" w:hAnsi="Arial" w:cs="Arial"/>
                      <w:bCs/>
                      <w:iCs/>
                      <w:sz w:val="24"/>
                      <w:lang w:val="ms-MY"/>
                    </w:rPr>
                    <w:t xml:space="preserve">means a contract in which a party </w:t>
                  </w:r>
                  <w:r w:rsidRPr="00B63086">
                    <w:rPr>
                      <w:rFonts w:ascii="Arial" w:hAnsi="Arial" w:cs="Arial"/>
                      <w:bCs/>
                      <w:i/>
                      <w:iCs/>
                      <w:sz w:val="24"/>
                      <w:lang w:val="ms-MY"/>
                    </w:rPr>
                    <w:t xml:space="preserve">(muwakkil) </w:t>
                  </w:r>
                  <w:r w:rsidRPr="00B63086">
                    <w:rPr>
                      <w:rFonts w:ascii="Arial" w:hAnsi="Arial" w:cs="Arial"/>
                      <w:bCs/>
                      <w:iCs/>
                      <w:sz w:val="24"/>
                      <w:lang w:val="ms-MY"/>
                    </w:rPr>
                    <w:t xml:space="preserve">authorises another party as their agent </w:t>
                  </w:r>
                  <w:r w:rsidRPr="00B63086">
                    <w:rPr>
                      <w:rFonts w:ascii="Arial" w:hAnsi="Arial" w:cs="Arial"/>
                      <w:bCs/>
                      <w:i/>
                      <w:iCs/>
                      <w:sz w:val="24"/>
                      <w:lang w:val="ms-MY"/>
                    </w:rPr>
                    <w:t>(wakil)</w:t>
                  </w:r>
                  <w:r w:rsidRPr="00B63086">
                    <w:rPr>
                      <w:rFonts w:ascii="Arial" w:hAnsi="Arial" w:cs="Arial"/>
                      <w:bCs/>
                      <w:iCs/>
                      <w:sz w:val="24"/>
                      <w:lang w:val="ms-MY"/>
                    </w:rPr>
                    <w:t xml:space="preserve"> to perform a particular task, in matters that may be delegated, either voluntarily or with imposition of fee.</w:t>
                  </w:r>
                </w:p>
                <w:p w14:paraId="3E7B45F2" w14:textId="77777777" w:rsidR="00E07AFE" w:rsidRPr="00B63086" w:rsidRDefault="00834DF7" w:rsidP="008317E1">
                  <w:pPr>
                    <w:spacing w:before="120" w:after="120"/>
                    <w:jc w:val="both"/>
                    <w:rPr>
                      <w:rFonts w:ascii="Arial" w:hAnsi="Arial" w:cs="Arial"/>
                      <w:sz w:val="24"/>
                    </w:rPr>
                  </w:pPr>
                  <w:r w:rsidRPr="00B63086">
                    <w:rPr>
                      <w:rFonts w:ascii="Arial" w:hAnsi="Arial" w:cs="Arial"/>
                      <w:sz w:val="24"/>
                      <w:lang w:val="ms-MY"/>
                    </w:rPr>
                    <w:t>In this case, the</w:t>
                  </w:r>
                  <w:r w:rsidR="00E60B8B" w:rsidRPr="00B63086">
                    <w:rPr>
                      <w:rFonts w:ascii="Arial" w:hAnsi="Arial" w:cs="Arial"/>
                      <w:sz w:val="24"/>
                      <w:lang w:val="ms-MY"/>
                    </w:rPr>
                    <w:t xml:space="preserve"> customer</w:t>
                  </w:r>
                  <w:r w:rsidR="001763B0">
                    <w:rPr>
                      <w:rFonts w:ascii="Arial" w:hAnsi="Arial" w:cs="Arial"/>
                      <w:sz w:val="24"/>
                      <w:lang w:val="ms-MY"/>
                    </w:rPr>
                    <w:t>(s)</w:t>
                  </w:r>
                  <w:r w:rsidR="00E60B8B" w:rsidRPr="00B63086">
                    <w:rPr>
                      <w:rFonts w:ascii="Arial" w:hAnsi="Arial" w:cs="Arial"/>
                      <w:sz w:val="24"/>
                      <w:lang w:val="ms-MY"/>
                    </w:rPr>
                    <w:t xml:space="preserve"> (“</w:t>
                  </w:r>
                  <w:r w:rsidR="00E60B8B" w:rsidRPr="008317E1">
                    <w:rPr>
                      <w:rFonts w:ascii="Arial" w:hAnsi="Arial" w:cs="Arial"/>
                      <w:b/>
                      <w:sz w:val="24"/>
                      <w:lang w:val="ms-MY"/>
                    </w:rPr>
                    <w:t>Investment Account Holder</w:t>
                  </w:r>
                  <w:r w:rsidR="001763B0" w:rsidRPr="008317E1">
                    <w:rPr>
                      <w:rFonts w:ascii="Arial" w:hAnsi="Arial" w:cs="Arial"/>
                      <w:b/>
                      <w:sz w:val="24"/>
                      <w:lang w:val="ms-MY"/>
                    </w:rPr>
                    <w:t>(s)</w:t>
                  </w:r>
                  <w:r w:rsidR="001C7A1D">
                    <w:rPr>
                      <w:rFonts w:ascii="Arial" w:hAnsi="Arial" w:cs="Arial"/>
                      <w:sz w:val="24"/>
                      <w:lang w:val="ms-MY"/>
                    </w:rPr>
                    <w:t>”</w:t>
                  </w:r>
                  <w:r w:rsidR="00E60B8B" w:rsidRPr="00B63086">
                    <w:rPr>
                      <w:rFonts w:ascii="Arial" w:hAnsi="Arial" w:cs="Arial"/>
                      <w:sz w:val="24"/>
                      <w:lang w:val="ms-MY"/>
                    </w:rPr>
                    <w:t xml:space="preserve"> or </w:t>
                  </w:r>
                  <w:r w:rsidR="001C7A1D">
                    <w:rPr>
                      <w:rFonts w:ascii="Arial" w:hAnsi="Arial" w:cs="Arial"/>
                      <w:sz w:val="24"/>
                      <w:lang w:val="ms-MY"/>
                    </w:rPr>
                    <w:t>“</w:t>
                  </w:r>
                  <w:r w:rsidR="00E60B8B" w:rsidRPr="008317E1">
                    <w:rPr>
                      <w:rFonts w:ascii="Arial" w:hAnsi="Arial" w:cs="Arial"/>
                      <w:b/>
                      <w:sz w:val="24"/>
                      <w:lang w:val="ms-MY"/>
                    </w:rPr>
                    <w:t>IAH</w:t>
                  </w:r>
                  <w:r w:rsidR="001763B0" w:rsidRPr="008317E1">
                    <w:rPr>
                      <w:rFonts w:ascii="Arial" w:hAnsi="Arial" w:cs="Arial"/>
                      <w:b/>
                      <w:sz w:val="24"/>
                      <w:lang w:val="ms-MY"/>
                    </w:rPr>
                    <w:t>(s)</w:t>
                  </w:r>
                  <w:r w:rsidR="00E60B8B" w:rsidRPr="00B63086">
                    <w:rPr>
                      <w:rFonts w:ascii="Arial" w:hAnsi="Arial" w:cs="Arial"/>
                      <w:sz w:val="24"/>
                      <w:lang w:val="ms-MY"/>
                    </w:rPr>
                    <w:t>”) appoint</w:t>
                  </w:r>
                  <w:r w:rsidRPr="00B63086">
                    <w:rPr>
                      <w:rFonts w:ascii="Arial" w:hAnsi="Arial" w:cs="Arial"/>
                      <w:sz w:val="24"/>
                      <w:lang w:val="ms-MY"/>
                    </w:rPr>
                    <w:t xml:space="preserve"> Bank </w:t>
                  </w:r>
                  <w:r w:rsidR="00E60B8B" w:rsidRPr="00B63086">
                    <w:rPr>
                      <w:rFonts w:ascii="Arial" w:hAnsi="Arial" w:cs="Arial"/>
                      <w:sz w:val="24"/>
                      <w:lang w:val="ms-MY"/>
                    </w:rPr>
                    <w:t>Islam Malaysia Berhad (“</w:t>
                  </w:r>
                  <w:r w:rsidR="00E60B8B" w:rsidRPr="008317E1">
                    <w:rPr>
                      <w:rFonts w:ascii="Arial" w:hAnsi="Arial" w:cs="Arial"/>
                      <w:b/>
                      <w:sz w:val="24"/>
                      <w:lang w:val="ms-MY"/>
                    </w:rPr>
                    <w:t>Bank Islam</w:t>
                  </w:r>
                  <w:r w:rsidR="001C7A1D">
                    <w:rPr>
                      <w:rFonts w:ascii="Arial" w:hAnsi="Arial" w:cs="Arial"/>
                      <w:sz w:val="24"/>
                      <w:lang w:val="ms-MY"/>
                    </w:rPr>
                    <w:t>”</w:t>
                  </w:r>
                  <w:r w:rsidR="00E60B8B" w:rsidRPr="00B63086">
                    <w:rPr>
                      <w:rFonts w:ascii="Arial" w:hAnsi="Arial" w:cs="Arial"/>
                      <w:sz w:val="24"/>
                      <w:lang w:val="ms-MY"/>
                    </w:rPr>
                    <w:t xml:space="preserve"> or </w:t>
                  </w:r>
                  <w:r w:rsidR="001C7A1D">
                    <w:rPr>
                      <w:rFonts w:ascii="Arial" w:hAnsi="Arial" w:cs="Arial"/>
                      <w:sz w:val="24"/>
                      <w:lang w:val="ms-MY"/>
                    </w:rPr>
                    <w:t>“</w:t>
                  </w:r>
                  <w:r w:rsidR="00E60B8B" w:rsidRPr="008317E1">
                    <w:rPr>
                      <w:rFonts w:ascii="Arial" w:hAnsi="Arial" w:cs="Arial"/>
                      <w:b/>
                      <w:sz w:val="24"/>
                      <w:lang w:val="ms-MY"/>
                    </w:rPr>
                    <w:t>the Bank</w:t>
                  </w:r>
                  <w:r w:rsidR="00E60B8B" w:rsidRPr="00B63086">
                    <w:rPr>
                      <w:rFonts w:ascii="Arial" w:hAnsi="Arial" w:cs="Arial"/>
                      <w:sz w:val="24"/>
                      <w:lang w:val="ms-MY"/>
                    </w:rPr>
                    <w:t>”</w:t>
                  </w:r>
                  <w:r w:rsidR="008317E1">
                    <w:rPr>
                      <w:rFonts w:ascii="Arial" w:hAnsi="Arial" w:cs="Arial"/>
                      <w:sz w:val="24"/>
                      <w:lang w:val="ms-MY"/>
                    </w:rPr>
                    <w:t xml:space="preserve"> or “</w:t>
                  </w:r>
                  <w:r w:rsidR="008317E1" w:rsidRPr="008317E1">
                    <w:rPr>
                      <w:rFonts w:ascii="Arial" w:hAnsi="Arial" w:cs="Arial"/>
                      <w:b/>
                      <w:sz w:val="24"/>
                      <w:lang w:val="ms-MY"/>
                    </w:rPr>
                    <w:t>the Sponsoring Bank</w:t>
                  </w:r>
                  <w:r w:rsidR="008317E1">
                    <w:rPr>
                      <w:rFonts w:ascii="Arial" w:hAnsi="Arial" w:cs="Arial"/>
                      <w:sz w:val="24"/>
                      <w:lang w:val="ms-MY"/>
                    </w:rPr>
                    <w:t>”</w:t>
                  </w:r>
                  <w:r w:rsidR="00E60B8B" w:rsidRPr="00B63086">
                    <w:rPr>
                      <w:rFonts w:ascii="Arial" w:hAnsi="Arial" w:cs="Arial"/>
                      <w:sz w:val="24"/>
                      <w:lang w:val="ms-MY"/>
                    </w:rPr>
                    <w:t xml:space="preserve">) as the agent </w:t>
                  </w:r>
                  <w:r w:rsidR="00A12C4E" w:rsidRPr="00B63086">
                    <w:rPr>
                      <w:rFonts w:ascii="Arial" w:hAnsi="Arial" w:cs="Arial"/>
                      <w:bCs/>
                      <w:iCs/>
                      <w:sz w:val="24"/>
                      <w:lang w:val="ms-MY"/>
                    </w:rPr>
                    <w:t>to</w:t>
                  </w:r>
                  <w:r w:rsidR="00E60B8B" w:rsidRPr="00B63086">
                    <w:rPr>
                      <w:rFonts w:ascii="Arial" w:hAnsi="Arial" w:cs="Arial"/>
                      <w:bCs/>
                      <w:iCs/>
                      <w:sz w:val="24"/>
                      <w:lang w:val="ms-MY"/>
                    </w:rPr>
                    <w:t xml:space="preserve"> invest the funds provided by the IAH</w:t>
                  </w:r>
                  <w:r w:rsidR="001763B0">
                    <w:rPr>
                      <w:rFonts w:ascii="Arial" w:hAnsi="Arial" w:cs="Arial"/>
                      <w:bCs/>
                      <w:iCs/>
                      <w:sz w:val="24"/>
                      <w:lang w:val="ms-MY"/>
                    </w:rPr>
                    <w:t>(s)</w:t>
                  </w:r>
                  <w:r w:rsidR="00E60B8B" w:rsidRPr="00B63086">
                    <w:rPr>
                      <w:rFonts w:ascii="Arial" w:hAnsi="Arial" w:cs="Arial"/>
                      <w:bCs/>
                      <w:iCs/>
                      <w:sz w:val="24"/>
                      <w:lang w:val="ms-MY"/>
                    </w:rPr>
                    <w:t xml:space="preserve"> to finance the V</w:t>
                  </w:r>
                  <w:r w:rsidR="00A12C4E" w:rsidRPr="00B63086">
                    <w:rPr>
                      <w:rFonts w:ascii="Arial" w:hAnsi="Arial" w:cs="Arial"/>
                      <w:bCs/>
                      <w:iCs/>
                      <w:sz w:val="24"/>
                      <w:lang w:val="ms-MY"/>
                    </w:rPr>
                    <w:t xml:space="preserve">enture </w:t>
                  </w:r>
                  <w:r w:rsidR="00E60B8B" w:rsidRPr="00B63086">
                    <w:rPr>
                      <w:rFonts w:ascii="Arial" w:hAnsi="Arial" w:cs="Arial"/>
                      <w:bCs/>
                      <w:iCs/>
                      <w:sz w:val="24"/>
                      <w:lang w:val="ms-MY"/>
                    </w:rPr>
                    <w:t>(as des</w:t>
                  </w:r>
                  <w:r w:rsidR="000C2729">
                    <w:rPr>
                      <w:rFonts w:ascii="Arial" w:hAnsi="Arial" w:cs="Arial"/>
                      <w:bCs/>
                      <w:iCs/>
                      <w:sz w:val="24"/>
                      <w:lang w:val="ms-MY"/>
                    </w:rPr>
                    <w:t>c</w:t>
                  </w:r>
                  <w:r w:rsidR="00E60B8B" w:rsidRPr="00B63086">
                    <w:rPr>
                      <w:rFonts w:ascii="Arial" w:hAnsi="Arial" w:cs="Arial"/>
                      <w:bCs/>
                      <w:iCs/>
                      <w:sz w:val="24"/>
                      <w:lang w:val="ms-MY"/>
                    </w:rPr>
                    <w:t xml:space="preserve">ribed below) </w:t>
                  </w:r>
                  <w:r w:rsidR="00A12C4E" w:rsidRPr="00B63086">
                    <w:rPr>
                      <w:rFonts w:ascii="Arial" w:hAnsi="Arial" w:cs="Arial"/>
                      <w:bCs/>
                      <w:iCs/>
                      <w:sz w:val="24"/>
                      <w:lang w:val="ms-MY"/>
                    </w:rPr>
                    <w:t>with a view of earning profit</w:t>
                  </w:r>
                  <w:r w:rsidR="008317E1">
                    <w:rPr>
                      <w:rFonts w:ascii="Arial" w:hAnsi="Arial" w:cs="Arial"/>
                      <w:bCs/>
                      <w:iCs/>
                      <w:sz w:val="24"/>
                      <w:lang w:val="ms-MY"/>
                    </w:rPr>
                    <w:t>s</w:t>
                  </w:r>
                  <w:r w:rsidR="00A12C4E" w:rsidRPr="00B63086">
                    <w:rPr>
                      <w:rFonts w:ascii="Arial" w:hAnsi="Arial" w:cs="Arial"/>
                      <w:bCs/>
                      <w:iCs/>
                      <w:sz w:val="24"/>
                      <w:lang w:val="ms-MY"/>
                    </w:rPr>
                    <w:t xml:space="preserve"> and the Bank will receive fee for the </w:t>
                  </w:r>
                  <w:r w:rsidR="00E60B8B" w:rsidRPr="00B63086">
                    <w:rPr>
                      <w:rFonts w:ascii="Arial" w:hAnsi="Arial" w:cs="Arial"/>
                      <w:bCs/>
                      <w:iCs/>
                      <w:sz w:val="24"/>
                      <w:lang w:val="ms-MY"/>
                    </w:rPr>
                    <w:t xml:space="preserve">agency </w:t>
                  </w:r>
                  <w:r w:rsidR="00A12C4E" w:rsidRPr="00B63086">
                    <w:rPr>
                      <w:rFonts w:ascii="Arial" w:hAnsi="Arial" w:cs="Arial"/>
                      <w:bCs/>
                      <w:iCs/>
                      <w:sz w:val="24"/>
                      <w:lang w:val="ms-MY"/>
                    </w:rPr>
                    <w:t>services provided.</w:t>
                  </w:r>
                  <w:r w:rsidRPr="00B63086">
                    <w:rPr>
                      <w:rFonts w:ascii="Arial" w:hAnsi="Arial" w:cs="Arial"/>
                      <w:sz w:val="24"/>
                      <w:lang w:val="ms-MY"/>
                    </w:rPr>
                    <w:t xml:space="preserve"> </w:t>
                  </w:r>
                </w:p>
              </w:tc>
            </w:tr>
            <w:tr w:rsidR="00E07AFE" w:rsidRPr="00B63086" w14:paraId="5CAE8A88" w14:textId="77777777" w:rsidTr="00E93717">
              <w:trPr>
                <w:trHeight w:val="1304"/>
              </w:trPr>
              <w:tc>
                <w:tcPr>
                  <w:tcW w:w="2605" w:type="dxa"/>
                  <w:shd w:val="clear" w:color="auto" w:fill="D9D9D9" w:themeFill="background1" w:themeFillShade="D9"/>
                </w:tcPr>
                <w:p w14:paraId="51E13598" w14:textId="77777777" w:rsidR="00E07AFE" w:rsidRPr="00B63086" w:rsidRDefault="00E07AFE" w:rsidP="001C7A1D">
                  <w:pPr>
                    <w:pStyle w:val="ListParagraph"/>
                    <w:spacing w:before="120" w:after="120"/>
                    <w:ind w:left="0"/>
                    <w:contextualSpacing w:val="0"/>
                    <w:rPr>
                      <w:rFonts w:ascii="Arial" w:hAnsi="Arial" w:cs="Arial"/>
                      <w:b/>
                      <w:sz w:val="24"/>
                    </w:rPr>
                  </w:pPr>
                  <w:r w:rsidRPr="00B63086">
                    <w:rPr>
                      <w:rFonts w:ascii="Arial" w:hAnsi="Arial" w:cs="Arial"/>
                      <w:b/>
                      <w:sz w:val="24"/>
                    </w:rPr>
                    <w:t xml:space="preserve">Type of Investment Account </w:t>
                  </w:r>
                </w:p>
              </w:tc>
              <w:tc>
                <w:tcPr>
                  <w:tcW w:w="7020" w:type="dxa"/>
                </w:tcPr>
                <w:p w14:paraId="47D1F4F1" w14:textId="77777777" w:rsidR="00834DF7" w:rsidRPr="00B63086" w:rsidRDefault="00CE1EF2" w:rsidP="008317E1">
                  <w:pPr>
                    <w:pStyle w:val="ListParagraph"/>
                    <w:spacing w:before="120" w:after="120"/>
                    <w:ind w:left="0"/>
                    <w:contextualSpacing w:val="0"/>
                    <w:jc w:val="both"/>
                    <w:rPr>
                      <w:rFonts w:ascii="Arial" w:hAnsi="Arial" w:cs="Arial"/>
                      <w:sz w:val="24"/>
                    </w:rPr>
                  </w:pPr>
                  <w:r w:rsidRPr="00B63086">
                    <w:rPr>
                      <w:rFonts w:ascii="Arial" w:hAnsi="Arial" w:cs="Arial"/>
                      <w:b/>
                      <w:sz w:val="24"/>
                    </w:rPr>
                    <w:t>“</w:t>
                  </w:r>
                  <w:r w:rsidR="00195358" w:rsidRPr="00B63086">
                    <w:rPr>
                      <w:rFonts w:ascii="Arial" w:hAnsi="Arial" w:cs="Arial"/>
                      <w:b/>
                      <w:sz w:val="24"/>
                    </w:rPr>
                    <w:t>Restricted Investment Account</w:t>
                  </w:r>
                  <w:r w:rsidRPr="00B63086">
                    <w:rPr>
                      <w:rFonts w:ascii="Arial" w:hAnsi="Arial" w:cs="Arial"/>
                      <w:b/>
                      <w:sz w:val="24"/>
                    </w:rPr>
                    <w:t>”</w:t>
                  </w:r>
                  <w:r w:rsidR="00195358" w:rsidRPr="00B63086">
                    <w:rPr>
                      <w:rFonts w:ascii="Arial" w:hAnsi="Arial" w:cs="Arial"/>
                      <w:sz w:val="24"/>
                    </w:rPr>
                    <w:t xml:space="preserve"> </w:t>
                  </w:r>
                  <w:r w:rsidRPr="00B63086">
                    <w:rPr>
                      <w:rFonts w:ascii="Arial" w:hAnsi="Arial" w:cs="Arial"/>
                      <w:sz w:val="24"/>
                    </w:rPr>
                    <w:t xml:space="preserve">or </w:t>
                  </w:r>
                  <w:r w:rsidRPr="00B63086">
                    <w:rPr>
                      <w:rFonts w:ascii="Arial" w:hAnsi="Arial" w:cs="Arial"/>
                      <w:b/>
                      <w:sz w:val="24"/>
                    </w:rPr>
                    <w:t>“RIA”</w:t>
                  </w:r>
                  <w:r w:rsidRPr="00B63086">
                    <w:rPr>
                      <w:rFonts w:ascii="Arial" w:hAnsi="Arial" w:cs="Arial"/>
                      <w:sz w:val="24"/>
                    </w:rPr>
                    <w:t xml:space="preserve"> </w:t>
                  </w:r>
                  <w:r w:rsidR="00195358" w:rsidRPr="00B63086">
                    <w:rPr>
                      <w:rFonts w:ascii="Arial" w:hAnsi="Arial" w:cs="Arial"/>
                      <w:sz w:val="24"/>
                      <w:lang w:val="ms-MY"/>
                    </w:rPr>
                    <w:t xml:space="preserve">refers to a type of investment account where the </w:t>
                  </w:r>
                  <w:r w:rsidRPr="00B63086">
                    <w:rPr>
                      <w:rFonts w:ascii="Arial" w:hAnsi="Arial" w:cs="Arial"/>
                      <w:sz w:val="24"/>
                      <w:lang w:val="ms-MY"/>
                    </w:rPr>
                    <w:t>IAH</w:t>
                  </w:r>
                  <w:r w:rsidR="001763B0">
                    <w:rPr>
                      <w:rFonts w:ascii="Arial" w:hAnsi="Arial" w:cs="Arial"/>
                      <w:sz w:val="24"/>
                      <w:lang w:val="ms-MY"/>
                    </w:rPr>
                    <w:t>(s)</w:t>
                  </w:r>
                  <w:r w:rsidRPr="00B63086">
                    <w:rPr>
                      <w:rFonts w:ascii="Arial" w:hAnsi="Arial" w:cs="Arial"/>
                      <w:sz w:val="24"/>
                      <w:lang w:val="ms-MY"/>
                    </w:rPr>
                    <w:t xml:space="preserve"> </w:t>
                  </w:r>
                  <w:r w:rsidR="00195358" w:rsidRPr="00B63086">
                    <w:rPr>
                      <w:rFonts w:ascii="Arial" w:hAnsi="Arial" w:cs="Arial"/>
                      <w:sz w:val="24"/>
                      <w:lang w:val="ms-MY"/>
                    </w:rPr>
                    <w:t>provide</w:t>
                  </w:r>
                  <w:r w:rsidR="008317E1">
                    <w:rPr>
                      <w:rFonts w:ascii="Arial" w:hAnsi="Arial" w:cs="Arial"/>
                      <w:sz w:val="24"/>
                      <w:lang w:val="ms-MY"/>
                    </w:rPr>
                    <w:t>s</w:t>
                  </w:r>
                  <w:r w:rsidR="00195358" w:rsidRPr="00B63086">
                    <w:rPr>
                      <w:rFonts w:ascii="Arial" w:hAnsi="Arial" w:cs="Arial"/>
                      <w:sz w:val="24"/>
                      <w:lang w:val="ms-MY"/>
                    </w:rPr>
                    <w:t xml:space="preserve"> the Bank with the mandate to make investment on </w:t>
                  </w:r>
                  <w:r w:rsidRPr="00B63086">
                    <w:rPr>
                      <w:rFonts w:ascii="Arial" w:hAnsi="Arial" w:cs="Arial"/>
                      <w:sz w:val="24"/>
                      <w:lang w:val="ms-MY"/>
                    </w:rPr>
                    <w:t xml:space="preserve">his </w:t>
                  </w:r>
                  <w:r w:rsidR="00195358" w:rsidRPr="00B63086">
                    <w:rPr>
                      <w:rFonts w:ascii="Arial" w:hAnsi="Arial" w:cs="Arial"/>
                      <w:sz w:val="24"/>
                      <w:lang w:val="ms-MY"/>
                    </w:rPr>
                    <w:t xml:space="preserve">behalf, in </w:t>
                  </w:r>
                  <w:r w:rsidR="00E60B8B" w:rsidRPr="00B63086">
                    <w:rPr>
                      <w:rFonts w:ascii="Arial" w:hAnsi="Arial" w:cs="Arial"/>
                      <w:sz w:val="24"/>
                      <w:lang w:val="ms-MY"/>
                    </w:rPr>
                    <w:t>financing the Venture.</w:t>
                  </w:r>
                </w:p>
              </w:tc>
            </w:tr>
            <w:tr w:rsidR="0026655A" w:rsidRPr="00B63086" w14:paraId="36891D64" w14:textId="77777777" w:rsidTr="00E93717">
              <w:trPr>
                <w:trHeight w:val="593"/>
              </w:trPr>
              <w:tc>
                <w:tcPr>
                  <w:tcW w:w="2605" w:type="dxa"/>
                  <w:shd w:val="clear" w:color="auto" w:fill="D9D9D9" w:themeFill="background1" w:themeFillShade="D9"/>
                </w:tcPr>
                <w:p w14:paraId="2F055A1A" w14:textId="77777777" w:rsidR="0026655A" w:rsidRPr="00B63086" w:rsidRDefault="0026655A" w:rsidP="001C7A1D">
                  <w:pPr>
                    <w:pStyle w:val="ListParagraph"/>
                    <w:spacing w:before="120" w:after="120"/>
                    <w:ind w:left="0"/>
                    <w:contextualSpacing w:val="0"/>
                    <w:rPr>
                      <w:rFonts w:ascii="Arial" w:hAnsi="Arial" w:cs="Arial"/>
                      <w:b/>
                      <w:sz w:val="24"/>
                    </w:rPr>
                  </w:pPr>
                  <w:r w:rsidRPr="00B63086">
                    <w:rPr>
                      <w:rFonts w:ascii="Arial" w:hAnsi="Arial" w:cs="Arial"/>
                      <w:b/>
                      <w:sz w:val="24"/>
                    </w:rPr>
                    <w:t>Description of the Venture</w:t>
                  </w:r>
                </w:p>
              </w:tc>
              <w:tc>
                <w:tcPr>
                  <w:tcW w:w="7020" w:type="dxa"/>
                </w:tcPr>
                <w:p w14:paraId="7B5E50FD" w14:textId="77777777" w:rsidR="0026655A" w:rsidRDefault="00C07359" w:rsidP="001C7A1D">
                  <w:pPr>
                    <w:pStyle w:val="ListParagraph"/>
                    <w:spacing w:before="120" w:after="120"/>
                    <w:ind w:left="0"/>
                    <w:contextualSpacing w:val="0"/>
                    <w:jc w:val="both"/>
                    <w:rPr>
                      <w:rFonts w:ascii="Arial" w:hAnsi="Arial" w:cs="Arial"/>
                      <w:sz w:val="24"/>
                    </w:rPr>
                  </w:pPr>
                  <w:r>
                    <w:rPr>
                      <w:rFonts w:ascii="Arial" w:hAnsi="Arial" w:cs="Arial"/>
                      <w:sz w:val="24"/>
                    </w:rPr>
                    <w:t>CMC Group Sdn Bhd</w:t>
                  </w:r>
                  <w:r w:rsidR="000C2729">
                    <w:rPr>
                      <w:rFonts w:ascii="Arial" w:hAnsi="Arial" w:cs="Arial"/>
                      <w:sz w:val="24"/>
                    </w:rPr>
                    <w:t xml:space="preserve"> (“</w:t>
                  </w:r>
                  <w:r w:rsidR="000C2729" w:rsidRPr="008317E1">
                    <w:rPr>
                      <w:rFonts w:ascii="Arial" w:hAnsi="Arial" w:cs="Arial"/>
                      <w:b/>
                      <w:sz w:val="24"/>
                    </w:rPr>
                    <w:t>the Venture</w:t>
                  </w:r>
                  <w:r w:rsidR="000C2729">
                    <w:rPr>
                      <w:rFonts w:ascii="Arial" w:hAnsi="Arial" w:cs="Arial"/>
                      <w:sz w:val="24"/>
                    </w:rPr>
                    <w:t>”)</w:t>
                  </w:r>
                  <w:r w:rsidR="00650A7B">
                    <w:rPr>
                      <w:rFonts w:ascii="Arial" w:hAnsi="Arial" w:cs="Arial"/>
                      <w:sz w:val="24"/>
                    </w:rPr>
                    <w:t>.</w:t>
                  </w:r>
                </w:p>
                <w:p w14:paraId="6C55E6EE" w14:textId="77777777" w:rsidR="000C2729" w:rsidRPr="00B63086" w:rsidRDefault="00650A7B" w:rsidP="00650A7B">
                  <w:pPr>
                    <w:pStyle w:val="ListParagraph"/>
                    <w:spacing w:before="120" w:after="120"/>
                    <w:ind w:left="0"/>
                    <w:contextualSpacing w:val="0"/>
                    <w:jc w:val="both"/>
                    <w:rPr>
                      <w:rFonts w:ascii="Arial" w:hAnsi="Arial" w:cs="Arial"/>
                      <w:sz w:val="24"/>
                    </w:rPr>
                  </w:pPr>
                  <w:r>
                    <w:rPr>
                      <w:rFonts w:ascii="Arial" w:hAnsi="Arial" w:cs="Arial"/>
                      <w:sz w:val="24"/>
                    </w:rPr>
                    <w:t>The financing to the Venture shall be in the form of Business F</w:t>
                  </w:r>
                  <w:r w:rsidR="00C07359">
                    <w:rPr>
                      <w:rFonts w:ascii="Arial" w:hAnsi="Arial" w:cs="Arial"/>
                      <w:sz w:val="24"/>
                    </w:rPr>
                    <w:t>inancing-i Facility of up to RM12</w:t>
                  </w:r>
                  <w:r>
                    <w:rPr>
                      <w:rFonts w:ascii="Arial" w:hAnsi="Arial" w:cs="Arial"/>
                      <w:sz w:val="24"/>
                    </w:rPr>
                    <w:t>.0 million</w:t>
                  </w:r>
                  <w:r w:rsidR="002E75C7">
                    <w:rPr>
                      <w:rFonts w:ascii="Arial" w:hAnsi="Arial" w:cs="Arial"/>
                      <w:sz w:val="24"/>
                    </w:rPr>
                    <w:t xml:space="preserve"> (“</w:t>
                  </w:r>
                  <w:r w:rsidR="002E75C7" w:rsidRPr="002E75C7">
                    <w:rPr>
                      <w:rFonts w:ascii="Arial" w:hAnsi="Arial" w:cs="Arial"/>
                      <w:b/>
                      <w:sz w:val="24"/>
                    </w:rPr>
                    <w:t>Financing</w:t>
                  </w:r>
                  <w:r w:rsidR="002E75C7">
                    <w:rPr>
                      <w:rFonts w:ascii="Arial" w:hAnsi="Arial" w:cs="Arial"/>
                      <w:sz w:val="24"/>
                    </w:rPr>
                    <w:t>”)</w:t>
                  </w:r>
                  <w:r>
                    <w:rPr>
                      <w:rFonts w:ascii="Arial" w:hAnsi="Arial" w:cs="Arial"/>
                      <w:sz w:val="24"/>
                    </w:rPr>
                    <w:t xml:space="preserve">, which details are further described in the Information Memorandum. </w:t>
                  </w:r>
                </w:p>
              </w:tc>
            </w:tr>
            <w:tr w:rsidR="00E07AFE" w:rsidRPr="00B63086" w14:paraId="2C7ABB88" w14:textId="77777777" w:rsidTr="00E93717">
              <w:trPr>
                <w:trHeight w:val="1610"/>
              </w:trPr>
              <w:tc>
                <w:tcPr>
                  <w:tcW w:w="2605" w:type="dxa"/>
                  <w:shd w:val="clear" w:color="auto" w:fill="D9D9D9" w:themeFill="background1" w:themeFillShade="D9"/>
                </w:tcPr>
                <w:p w14:paraId="45395294" w14:textId="77777777" w:rsidR="00E07AFE" w:rsidRPr="00B63086" w:rsidRDefault="00E07AFE" w:rsidP="001C7A1D">
                  <w:pPr>
                    <w:pStyle w:val="ListParagraph"/>
                    <w:spacing w:before="120" w:after="120"/>
                    <w:ind w:left="0"/>
                    <w:contextualSpacing w:val="0"/>
                    <w:rPr>
                      <w:rFonts w:ascii="Arial" w:hAnsi="Arial" w:cs="Arial"/>
                      <w:b/>
                      <w:sz w:val="24"/>
                    </w:rPr>
                  </w:pPr>
                  <w:r w:rsidRPr="00B63086">
                    <w:rPr>
                      <w:rFonts w:ascii="Arial" w:hAnsi="Arial" w:cs="Arial"/>
                      <w:b/>
                      <w:sz w:val="24"/>
                    </w:rPr>
                    <w:t>Parties involved in the investment activities and their roles and responsibilities</w:t>
                  </w:r>
                </w:p>
              </w:tc>
              <w:tc>
                <w:tcPr>
                  <w:tcW w:w="7020" w:type="dxa"/>
                </w:tcPr>
                <w:p w14:paraId="4321DC05" w14:textId="77777777" w:rsidR="00E07AFE" w:rsidRPr="00B63086" w:rsidRDefault="00195358" w:rsidP="001C7A1D">
                  <w:pPr>
                    <w:pStyle w:val="ListParagraph"/>
                    <w:spacing w:before="120" w:after="120"/>
                    <w:ind w:left="0"/>
                    <w:contextualSpacing w:val="0"/>
                    <w:rPr>
                      <w:rFonts w:ascii="Arial" w:hAnsi="Arial" w:cs="Arial"/>
                      <w:sz w:val="24"/>
                    </w:rPr>
                  </w:pPr>
                  <w:r w:rsidRPr="00B63086">
                    <w:rPr>
                      <w:rFonts w:ascii="Arial" w:hAnsi="Arial" w:cs="Arial"/>
                      <w:sz w:val="24"/>
                    </w:rPr>
                    <w:t>Parties involved are:</w:t>
                  </w:r>
                </w:p>
                <w:p w14:paraId="05028702" w14:textId="77777777" w:rsidR="00195358" w:rsidRPr="00B63086" w:rsidRDefault="00195358" w:rsidP="00650A7B">
                  <w:pPr>
                    <w:pStyle w:val="ListParagraph"/>
                    <w:numPr>
                      <w:ilvl w:val="0"/>
                      <w:numId w:val="19"/>
                    </w:numPr>
                    <w:spacing w:before="120" w:after="120"/>
                    <w:ind w:left="342" w:hanging="342"/>
                    <w:contextualSpacing w:val="0"/>
                    <w:rPr>
                      <w:rFonts w:ascii="Arial" w:hAnsi="Arial" w:cs="Arial"/>
                      <w:sz w:val="24"/>
                    </w:rPr>
                  </w:pPr>
                  <w:r w:rsidRPr="00B63086">
                    <w:rPr>
                      <w:rFonts w:ascii="Arial" w:hAnsi="Arial" w:cs="Arial"/>
                      <w:sz w:val="24"/>
                    </w:rPr>
                    <w:t>Bank Islam as the</w:t>
                  </w:r>
                  <w:r w:rsidR="00E60B8B" w:rsidRPr="00B63086">
                    <w:rPr>
                      <w:rFonts w:ascii="Arial" w:hAnsi="Arial" w:cs="Arial"/>
                      <w:sz w:val="24"/>
                    </w:rPr>
                    <w:t xml:space="preserve"> </w:t>
                  </w:r>
                  <w:r w:rsidR="004309FB" w:rsidRPr="00B63086">
                    <w:rPr>
                      <w:rFonts w:ascii="Arial" w:hAnsi="Arial" w:cs="Arial"/>
                      <w:sz w:val="24"/>
                    </w:rPr>
                    <w:t>investment agent</w:t>
                  </w:r>
                  <w:r w:rsidR="0084485C">
                    <w:rPr>
                      <w:rFonts w:ascii="Arial" w:hAnsi="Arial" w:cs="Arial"/>
                      <w:sz w:val="24"/>
                    </w:rPr>
                    <w:t xml:space="preserve"> (“</w:t>
                  </w:r>
                  <w:r w:rsidR="0084485C" w:rsidRPr="0084485C">
                    <w:rPr>
                      <w:rFonts w:ascii="Arial" w:hAnsi="Arial" w:cs="Arial"/>
                      <w:b/>
                      <w:sz w:val="24"/>
                    </w:rPr>
                    <w:t>Agent</w:t>
                  </w:r>
                  <w:r w:rsidR="0084485C">
                    <w:rPr>
                      <w:rFonts w:ascii="Arial" w:hAnsi="Arial" w:cs="Arial"/>
                      <w:sz w:val="24"/>
                    </w:rPr>
                    <w:t>”)</w:t>
                  </w:r>
                  <w:r w:rsidRPr="00B63086">
                    <w:rPr>
                      <w:rFonts w:ascii="Arial" w:hAnsi="Arial" w:cs="Arial"/>
                      <w:sz w:val="24"/>
                    </w:rPr>
                    <w:t>;</w:t>
                  </w:r>
                </w:p>
                <w:p w14:paraId="4D020D60" w14:textId="77777777" w:rsidR="00195358" w:rsidRPr="00B63086" w:rsidRDefault="004309FB" w:rsidP="00650A7B">
                  <w:pPr>
                    <w:pStyle w:val="ListParagraph"/>
                    <w:numPr>
                      <w:ilvl w:val="0"/>
                      <w:numId w:val="19"/>
                    </w:numPr>
                    <w:spacing w:before="120" w:after="120"/>
                    <w:ind w:left="342" w:hanging="342"/>
                    <w:contextualSpacing w:val="0"/>
                    <w:rPr>
                      <w:rFonts w:ascii="Arial" w:hAnsi="Arial" w:cs="Arial"/>
                      <w:sz w:val="24"/>
                    </w:rPr>
                  </w:pPr>
                  <w:r w:rsidRPr="00B63086">
                    <w:rPr>
                      <w:rFonts w:ascii="Arial" w:hAnsi="Arial" w:cs="Arial"/>
                      <w:sz w:val="24"/>
                    </w:rPr>
                    <w:t>The IAH</w:t>
                  </w:r>
                  <w:r w:rsidR="001763B0">
                    <w:rPr>
                      <w:rFonts w:ascii="Arial" w:hAnsi="Arial" w:cs="Arial"/>
                      <w:sz w:val="24"/>
                    </w:rPr>
                    <w:t>(s)</w:t>
                  </w:r>
                  <w:r w:rsidRPr="00B63086">
                    <w:rPr>
                      <w:rFonts w:ascii="Arial" w:hAnsi="Arial" w:cs="Arial"/>
                      <w:sz w:val="24"/>
                    </w:rPr>
                    <w:t xml:space="preserve"> </w:t>
                  </w:r>
                  <w:r w:rsidR="00195358" w:rsidRPr="00B63086">
                    <w:rPr>
                      <w:rFonts w:ascii="Arial" w:hAnsi="Arial" w:cs="Arial"/>
                      <w:sz w:val="24"/>
                    </w:rPr>
                    <w:t xml:space="preserve">as the </w:t>
                  </w:r>
                  <w:r w:rsidRPr="00B63086">
                    <w:rPr>
                      <w:rFonts w:ascii="Arial" w:hAnsi="Arial" w:cs="Arial"/>
                      <w:sz w:val="24"/>
                    </w:rPr>
                    <w:t>investor</w:t>
                  </w:r>
                  <w:r w:rsidR="001763B0">
                    <w:rPr>
                      <w:rFonts w:ascii="Arial" w:hAnsi="Arial" w:cs="Arial"/>
                      <w:sz w:val="24"/>
                    </w:rPr>
                    <w:t>(s)</w:t>
                  </w:r>
                  <w:r w:rsidR="00195358" w:rsidRPr="00B63086">
                    <w:rPr>
                      <w:rFonts w:ascii="Arial" w:hAnsi="Arial" w:cs="Arial"/>
                      <w:sz w:val="24"/>
                    </w:rPr>
                    <w:t>; and</w:t>
                  </w:r>
                </w:p>
                <w:p w14:paraId="62C7F7CF" w14:textId="77777777" w:rsidR="00195358" w:rsidRPr="00B63086" w:rsidRDefault="007C427B" w:rsidP="002E75C7">
                  <w:pPr>
                    <w:pStyle w:val="ListParagraph"/>
                    <w:numPr>
                      <w:ilvl w:val="0"/>
                      <w:numId w:val="19"/>
                    </w:numPr>
                    <w:spacing w:before="120" w:after="120"/>
                    <w:ind w:left="342" w:hanging="342"/>
                    <w:contextualSpacing w:val="0"/>
                    <w:jc w:val="both"/>
                    <w:rPr>
                      <w:rFonts w:ascii="Arial" w:hAnsi="Arial" w:cs="Arial"/>
                      <w:sz w:val="24"/>
                    </w:rPr>
                  </w:pPr>
                  <w:r w:rsidRPr="00B63086">
                    <w:rPr>
                      <w:rFonts w:ascii="Arial" w:hAnsi="Arial" w:cs="Arial"/>
                      <w:sz w:val="24"/>
                    </w:rPr>
                    <w:t>The</w:t>
                  </w:r>
                  <w:r w:rsidR="00195358" w:rsidRPr="00B63086">
                    <w:rPr>
                      <w:rFonts w:ascii="Arial" w:hAnsi="Arial" w:cs="Arial"/>
                      <w:sz w:val="24"/>
                    </w:rPr>
                    <w:t xml:space="preserve"> </w:t>
                  </w:r>
                  <w:r w:rsidR="004309FB" w:rsidRPr="00B63086">
                    <w:rPr>
                      <w:rFonts w:ascii="Arial" w:hAnsi="Arial" w:cs="Arial"/>
                      <w:sz w:val="24"/>
                    </w:rPr>
                    <w:t xml:space="preserve">Venture, being the party that receives the </w:t>
                  </w:r>
                  <w:r w:rsidR="002E75C7">
                    <w:rPr>
                      <w:rFonts w:ascii="Arial" w:hAnsi="Arial" w:cs="Arial"/>
                      <w:sz w:val="24"/>
                    </w:rPr>
                    <w:t>F</w:t>
                  </w:r>
                  <w:r w:rsidR="00E60B8B" w:rsidRPr="00B63086">
                    <w:rPr>
                      <w:rFonts w:ascii="Arial" w:hAnsi="Arial" w:cs="Arial"/>
                      <w:sz w:val="24"/>
                    </w:rPr>
                    <w:t>inancing</w:t>
                  </w:r>
                  <w:r w:rsidR="000632CC" w:rsidRPr="00B63086">
                    <w:rPr>
                      <w:rFonts w:ascii="Arial" w:hAnsi="Arial" w:cs="Arial"/>
                      <w:sz w:val="24"/>
                    </w:rPr>
                    <w:t xml:space="preserve">. </w:t>
                  </w:r>
                  <w:r w:rsidR="00195358" w:rsidRPr="00B63086">
                    <w:rPr>
                      <w:rFonts w:ascii="Arial" w:hAnsi="Arial" w:cs="Arial"/>
                      <w:sz w:val="24"/>
                    </w:rPr>
                    <w:t xml:space="preserve"> </w:t>
                  </w:r>
                </w:p>
              </w:tc>
            </w:tr>
          </w:tbl>
          <w:p w14:paraId="7B79297E" w14:textId="77777777" w:rsidR="00E07AFE" w:rsidRPr="00B63086" w:rsidRDefault="00E07AFE" w:rsidP="00B63086">
            <w:pPr>
              <w:pStyle w:val="ListParagraph"/>
              <w:ind w:left="360"/>
              <w:rPr>
                <w:rFonts w:ascii="Arial" w:hAnsi="Arial" w:cs="Arial"/>
                <w:sz w:val="24"/>
              </w:rPr>
            </w:pPr>
          </w:p>
        </w:tc>
      </w:tr>
      <w:tr w:rsidR="00E07AFE" w:rsidRPr="00B63086" w14:paraId="0D7E24E2" w14:textId="77777777" w:rsidTr="00062F27">
        <w:tc>
          <w:tcPr>
            <w:tcW w:w="9812" w:type="dxa"/>
          </w:tcPr>
          <w:p w14:paraId="2D68186F" w14:textId="77777777" w:rsidR="00B04439" w:rsidRPr="00AE34ED" w:rsidRDefault="00B04439" w:rsidP="00AE34ED">
            <w:pPr>
              <w:rPr>
                <w:rFonts w:ascii="Arial" w:hAnsi="Arial" w:cs="Arial"/>
                <w:sz w:val="24"/>
              </w:rPr>
            </w:pPr>
          </w:p>
        </w:tc>
      </w:tr>
      <w:tr w:rsidR="00E07AFE" w:rsidRPr="00B63086" w14:paraId="77A82227" w14:textId="77777777" w:rsidTr="00062F27">
        <w:tc>
          <w:tcPr>
            <w:tcW w:w="9812" w:type="dxa"/>
            <w:shd w:val="clear" w:color="auto" w:fill="000000"/>
          </w:tcPr>
          <w:p w14:paraId="3B599B50" w14:textId="77777777" w:rsidR="00E07AFE" w:rsidRPr="00B63086" w:rsidRDefault="00EC3786" w:rsidP="00B63086">
            <w:pPr>
              <w:pStyle w:val="ListParagraph"/>
              <w:numPr>
                <w:ilvl w:val="0"/>
                <w:numId w:val="1"/>
              </w:numPr>
              <w:spacing w:before="120" w:after="120"/>
              <w:ind w:left="360"/>
              <w:rPr>
                <w:rFonts w:ascii="Arial" w:hAnsi="Arial" w:cs="Arial"/>
                <w:b/>
                <w:sz w:val="24"/>
              </w:rPr>
            </w:pPr>
            <w:r w:rsidRPr="00B63086">
              <w:rPr>
                <w:rFonts w:ascii="Arial" w:hAnsi="Arial" w:cs="Arial"/>
                <w:b/>
                <w:sz w:val="24"/>
              </w:rPr>
              <w:t>Who is this product suitable for?</w:t>
            </w:r>
          </w:p>
        </w:tc>
      </w:tr>
      <w:tr w:rsidR="00E07AFE" w:rsidRPr="00B63086" w14:paraId="343CFCC2" w14:textId="77777777" w:rsidTr="00AE34ED">
        <w:trPr>
          <w:trHeight w:val="1368"/>
        </w:trPr>
        <w:tc>
          <w:tcPr>
            <w:tcW w:w="9812" w:type="dxa"/>
          </w:tcPr>
          <w:p w14:paraId="0833270F" w14:textId="77777777" w:rsidR="00E07AFE" w:rsidRPr="00B63086" w:rsidRDefault="00E07AFE" w:rsidP="00B63086">
            <w:pPr>
              <w:pStyle w:val="ListParagraph"/>
              <w:ind w:left="360"/>
              <w:rPr>
                <w:rFonts w:ascii="Arial" w:hAnsi="Arial" w:cs="Arial"/>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020"/>
            </w:tblGrid>
            <w:tr w:rsidR="00B6412A" w:rsidRPr="00B63086" w14:paraId="7499E610" w14:textId="77777777" w:rsidTr="00E93717">
              <w:trPr>
                <w:trHeight w:val="368"/>
              </w:trPr>
              <w:tc>
                <w:tcPr>
                  <w:tcW w:w="2605" w:type="dxa"/>
                  <w:shd w:val="clear" w:color="auto" w:fill="D9D9D9" w:themeFill="background1" w:themeFillShade="D9"/>
                </w:tcPr>
                <w:p w14:paraId="2D6E2BB7" w14:textId="77777777" w:rsidR="00B6412A" w:rsidRPr="00B63086" w:rsidRDefault="00B6412A" w:rsidP="00AE34ED">
                  <w:pPr>
                    <w:pStyle w:val="ListParagraph"/>
                    <w:spacing w:before="120" w:after="120"/>
                    <w:ind w:left="0"/>
                    <w:contextualSpacing w:val="0"/>
                    <w:rPr>
                      <w:rFonts w:ascii="Arial" w:hAnsi="Arial" w:cs="Arial"/>
                      <w:b/>
                      <w:sz w:val="24"/>
                    </w:rPr>
                  </w:pPr>
                  <w:r w:rsidRPr="00B63086">
                    <w:rPr>
                      <w:rFonts w:ascii="Arial" w:hAnsi="Arial" w:cs="Arial"/>
                      <w:b/>
                      <w:sz w:val="24"/>
                    </w:rPr>
                    <w:t>Types of Investors</w:t>
                  </w:r>
                </w:p>
              </w:tc>
              <w:tc>
                <w:tcPr>
                  <w:tcW w:w="7020" w:type="dxa"/>
                </w:tcPr>
                <w:p w14:paraId="768FC6F8" w14:textId="77777777" w:rsidR="00003BF6" w:rsidRDefault="00A965FF" w:rsidP="00003BF6">
                  <w:pPr>
                    <w:pStyle w:val="ListParagraph"/>
                    <w:numPr>
                      <w:ilvl w:val="0"/>
                      <w:numId w:val="20"/>
                    </w:numPr>
                    <w:spacing w:before="120" w:after="120"/>
                    <w:ind w:left="342" w:hanging="342"/>
                    <w:contextualSpacing w:val="0"/>
                    <w:rPr>
                      <w:rFonts w:ascii="Arial" w:hAnsi="Arial" w:cs="Arial"/>
                      <w:sz w:val="24"/>
                    </w:rPr>
                  </w:pPr>
                  <w:r w:rsidRPr="00003BF6">
                    <w:rPr>
                      <w:rFonts w:ascii="Arial" w:hAnsi="Arial" w:cs="Arial"/>
                      <w:sz w:val="24"/>
                    </w:rPr>
                    <w:t>Individual</w:t>
                  </w:r>
                </w:p>
                <w:p w14:paraId="04D120D8" w14:textId="77777777" w:rsidR="00003BF6" w:rsidRPr="00003BF6" w:rsidRDefault="00003BF6" w:rsidP="00386210">
                  <w:pPr>
                    <w:pStyle w:val="ListParagraph"/>
                    <w:numPr>
                      <w:ilvl w:val="0"/>
                      <w:numId w:val="23"/>
                    </w:numPr>
                    <w:spacing w:before="120" w:after="120"/>
                    <w:contextualSpacing w:val="0"/>
                    <w:jc w:val="both"/>
                    <w:rPr>
                      <w:rFonts w:ascii="Arial" w:hAnsi="Arial" w:cs="Arial"/>
                      <w:sz w:val="24"/>
                    </w:rPr>
                  </w:pPr>
                  <w:r w:rsidRPr="00003BF6">
                    <w:rPr>
                      <w:rFonts w:ascii="Arial" w:hAnsi="Arial" w:cs="Arial"/>
                      <w:sz w:val="24"/>
                    </w:rPr>
                    <w:t>Residents who have attained the age of twenty-one (21) years and above.</w:t>
                  </w:r>
                </w:p>
                <w:p w14:paraId="65E59E9C" w14:textId="77777777" w:rsidR="00003BF6" w:rsidRDefault="00003BF6" w:rsidP="00003BF6">
                  <w:pPr>
                    <w:pStyle w:val="ListParagraph"/>
                    <w:numPr>
                      <w:ilvl w:val="0"/>
                      <w:numId w:val="23"/>
                    </w:numPr>
                    <w:spacing w:before="120" w:after="120"/>
                    <w:contextualSpacing w:val="0"/>
                    <w:rPr>
                      <w:rFonts w:ascii="Arial" w:hAnsi="Arial" w:cs="Arial"/>
                      <w:sz w:val="24"/>
                    </w:rPr>
                  </w:pPr>
                  <w:r w:rsidRPr="00003BF6">
                    <w:rPr>
                      <w:rFonts w:ascii="Arial" w:hAnsi="Arial" w:cs="Arial"/>
                      <w:sz w:val="24"/>
                    </w:rPr>
                    <w:t>Joint account is not allowed.</w:t>
                  </w:r>
                </w:p>
                <w:p w14:paraId="3502C3F4" w14:textId="77777777" w:rsidR="00003BF6" w:rsidRPr="00003BF6" w:rsidRDefault="00003BF6" w:rsidP="00003BF6">
                  <w:pPr>
                    <w:pStyle w:val="ListParagraph"/>
                    <w:spacing w:before="120" w:after="120"/>
                    <w:ind w:left="342"/>
                    <w:contextualSpacing w:val="0"/>
                    <w:jc w:val="both"/>
                    <w:rPr>
                      <w:rFonts w:ascii="Arial" w:hAnsi="Arial" w:cs="Arial"/>
                      <w:i/>
                      <w:sz w:val="24"/>
                    </w:rPr>
                  </w:pPr>
                  <w:r w:rsidRPr="00003BF6">
                    <w:rPr>
                      <w:rFonts w:ascii="Arial" w:hAnsi="Arial" w:cs="Arial"/>
                      <w:i/>
                      <w:sz w:val="24"/>
                    </w:rPr>
                    <w:t xml:space="preserve">(Note: Individuals shall be subjected to Suitability Assessment via Investment Account Platform online system.) </w:t>
                  </w:r>
                </w:p>
                <w:p w14:paraId="46243617" w14:textId="77777777" w:rsidR="00A965FF" w:rsidRDefault="00A965FF" w:rsidP="00003BF6">
                  <w:pPr>
                    <w:pStyle w:val="ListParagraph"/>
                    <w:numPr>
                      <w:ilvl w:val="0"/>
                      <w:numId w:val="20"/>
                    </w:numPr>
                    <w:spacing w:before="120" w:after="120"/>
                    <w:ind w:left="346" w:hanging="346"/>
                    <w:contextualSpacing w:val="0"/>
                    <w:rPr>
                      <w:rFonts w:ascii="Arial" w:hAnsi="Arial" w:cs="Arial"/>
                      <w:sz w:val="24"/>
                    </w:rPr>
                  </w:pPr>
                  <w:r w:rsidRPr="00003BF6">
                    <w:rPr>
                      <w:rFonts w:ascii="Arial" w:hAnsi="Arial" w:cs="Arial"/>
                      <w:sz w:val="24"/>
                    </w:rPr>
                    <w:t>Non</w:t>
                  </w:r>
                  <w:r w:rsidR="00F82518" w:rsidRPr="00003BF6">
                    <w:rPr>
                      <w:rFonts w:ascii="Arial" w:hAnsi="Arial" w:cs="Arial"/>
                      <w:sz w:val="24"/>
                    </w:rPr>
                    <w:t>-</w:t>
                  </w:r>
                  <w:r w:rsidRPr="00003BF6">
                    <w:rPr>
                      <w:rFonts w:ascii="Arial" w:hAnsi="Arial" w:cs="Arial"/>
                      <w:sz w:val="24"/>
                    </w:rPr>
                    <w:t>Individual</w:t>
                  </w:r>
                </w:p>
                <w:p w14:paraId="763BF103" w14:textId="77777777" w:rsidR="00D30606" w:rsidRDefault="00A5061B">
                  <w:pPr>
                    <w:pStyle w:val="ListParagraph"/>
                    <w:numPr>
                      <w:ilvl w:val="0"/>
                      <w:numId w:val="24"/>
                    </w:numPr>
                    <w:spacing w:before="120" w:after="120"/>
                    <w:ind w:left="706"/>
                    <w:contextualSpacing w:val="0"/>
                    <w:jc w:val="both"/>
                    <w:rPr>
                      <w:rFonts w:ascii="Arial" w:hAnsi="Arial" w:cs="Arial"/>
                      <w:sz w:val="24"/>
                    </w:rPr>
                  </w:pPr>
                  <w:r>
                    <w:rPr>
                      <w:rFonts w:ascii="Arial" w:hAnsi="Arial" w:cs="Arial"/>
                      <w:sz w:val="24"/>
                    </w:rPr>
                    <w:t>Including but not limited to companies, SMEs, i</w:t>
                  </w:r>
                  <w:r w:rsidR="00003BF6">
                    <w:rPr>
                      <w:rFonts w:ascii="Arial" w:hAnsi="Arial" w:cs="Arial"/>
                      <w:sz w:val="24"/>
                    </w:rPr>
                    <w:t>nstitutions, corporations</w:t>
                  </w:r>
                  <w:r>
                    <w:rPr>
                      <w:rFonts w:ascii="Arial" w:hAnsi="Arial" w:cs="Arial"/>
                      <w:sz w:val="24"/>
                    </w:rPr>
                    <w:t xml:space="preserve">, government agencies, universities, </w:t>
                  </w:r>
                  <w:r w:rsidR="00003BF6">
                    <w:rPr>
                      <w:rFonts w:ascii="Arial" w:hAnsi="Arial" w:cs="Arial"/>
                      <w:sz w:val="24"/>
                    </w:rPr>
                    <w:t xml:space="preserve">and other business </w:t>
                  </w:r>
                  <w:r>
                    <w:rPr>
                      <w:rFonts w:ascii="Arial" w:hAnsi="Arial" w:cs="Arial"/>
                      <w:sz w:val="24"/>
                    </w:rPr>
                    <w:t xml:space="preserve">and non-business </w:t>
                  </w:r>
                  <w:r w:rsidR="002219C1">
                    <w:rPr>
                      <w:rFonts w:ascii="Arial" w:hAnsi="Arial" w:cs="Arial"/>
                      <w:sz w:val="24"/>
                    </w:rPr>
                    <w:t>entities incorporated</w:t>
                  </w:r>
                  <w:r w:rsidR="00003BF6">
                    <w:rPr>
                      <w:rFonts w:ascii="Arial" w:hAnsi="Arial" w:cs="Arial"/>
                      <w:sz w:val="24"/>
                    </w:rPr>
                    <w:t xml:space="preserve"> in Malaysia.</w:t>
                  </w:r>
                </w:p>
              </w:tc>
            </w:tr>
            <w:tr w:rsidR="00B6412A" w:rsidRPr="00B63086" w14:paraId="1B2E77DC" w14:textId="77777777" w:rsidTr="00E93717">
              <w:trPr>
                <w:trHeight w:val="116"/>
              </w:trPr>
              <w:tc>
                <w:tcPr>
                  <w:tcW w:w="2605" w:type="dxa"/>
                  <w:shd w:val="clear" w:color="auto" w:fill="D9D9D9" w:themeFill="background1" w:themeFillShade="D9"/>
                </w:tcPr>
                <w:p w14:paraId="4F1BFC42" w14:textId="77777777" w:rsidR="00B6412A" w:rsidRPr="00B63086" w:rsidRDefault="00B6412A" w:rsidP="00AE34ED">
                  <w:pPr>
                    <w:pStyle w:val="ListParagraph"/>
                    <w:spacing w:before="120" w:after="120"/>
                    <w:ind w:left="0"/>
                    <w:contextualSpacing w:val="0"/>
                    <w:rPr>
                      <w:rFonts w:ascii="Arial" w:hAnsi="Arial" w:cs="Arial"/>
                      <w:b/>
                      <w:sz w:val="24"/>
                    </w:rPr>
                  </w:pPr>
                  <w:r w:rsidRPr="00B63086">
                    <w:rPr>
                      <w:rFonts w:ascii="Arial" w:hAnsi="Arial" w:cs="Arial"/>
                      <w:b/>
                      <w:sz w:val="24"/>
                    </w:rPr>
                    <w:t>Return objectives</w:t>
                  </w:r>
                </w:p>
              </w:tc>
              <w:tc>
                <w:tcPr>
                  <w:tcW w:w="7020" w:type="dxa"/>
                </w:tcPr>
                <w:p w14:paraId="7FA940F8" w14:textId="77777777" w:rsidR="00B6412A" w:rsidRPr="00B63086" w:rsidRDefault="00650A7B" w:rsidP="002E75C7">
                  <w:pPr>
                    <w:pStyle w:val="ListParagraph"/>
                    <w:spacing w:before="120" w:after="120"/>
                    <w:ind w:left="0"/>
                    <w:contextualSpacing w:val="0"/>
                    <w:jc w:val="both"/>
                    <w:rPr>
                      <w:rFonts w:ascii="Arial" w:hAnsi="Arial" w:cs="Arial"/>
                      <w:sz w:val="24"/>
                    </w:rPr>
                  </w:pPr>
                  <w:r>
                    <w:rPr>
                      <w:rFonts w:ascii="Arial" w:hAnsi="Arial" w:cs="Arial"/>
                      <w:sz w:val="24"/>
                    </w:rPr>
                    <w:t>The profit</w:t>
                  </w:r>
                  <w:r w:rsidR="008317E1">
                    <w:rPr>
                      <w:rFonts w:ascii="Arial" w:hAnsi="Arial" w:cs="Arial"/>
                      <w:sz w:val="24"/>
                    </w:rPr>
                    <w:t xml:space="preserve"> is</w:t>
                  </w:r>
                  <w:r>
                    <w:rPr>
                      <w:rFonts w:ascii="Arial" w:hAnsi="Arial" w:cs="Arial"/>
                      <w:sz w:val="24"/>
                    </w:rPr>
                    <w:t xml:space="preserve"> dependent on the performance of the Venture under the </w:t>
                  </w:r>
                  <w:r w:rsidR="002E75C7">
                    <w:rPr>
                      <w:rFonts w:ascii="Arial" w:hAnsi="Arial" w:cs="Arial"/>
                      <w:sz w:val="24"/>
                    </w:rPr>
                    <w:t>F</w:t>
                  </w:r>
                  <w:r>
                    <w:rPr>
                      <w:rFonts w:ascii="Arial" w:hAnsi="Arial" w:cs="Arial"/>
                      <w:sz w:val="24"/>
                    </w:rPr>
                    <w:t>inancing. The Expected Profit Return is provided for indicative purposes and does not constitute the Bank’s obligations to generate or pay such profit.</w:t>
                  </w:r>
                  <w:r w:rsidR="00A965FF" w:rsidRPr="00B63086">
                    <w:rPr>
                      <w:rFonts w:ascii="Arial" w:hAnsi="Arial" w:cs="Arial"/>
                      <w:sz w:val="24"/>
                    </w:rPr>
                    <w:t xml:space="preserve"> </w:t>
                  </w:r>
                </w:p>
              </w:tc>
            </w:tr>
          </w:tbl>
          <w:p w14:paraId="60B8FFDF" w14:textId="77777777" w:rsidR="00B6412A" w:rsidRPr="00B63086" w:rsidRDefault="00B6412A" w:rsidP="00E462C0">
            <w:pPr>
              <w:rPr>
                <w:rFonts w:ascii="Arial" w:hAnsi="Arial" w:cs="Arial"/>
                <w:sz w:val="24"/>
              </w:rPr>
            </w:pPr>
          </w:p>
        </w:tc>
      </w:tr>
      <w:tr w:rsidR="00E462C0" w:rsidRPr="00B63086" w14:paraId="3D35F089" w14:textId="77777777" w:rsidTr="00062F27">
        <w:tc>
          <w:tcPr>
            <w:tcW w:w="9812" w:type="dxa"/>
          </w:tcPr>
          <w:p w14:paraId="22B963CA" w14:textId="77777777" w:rsidR="001763B0" w:rsidRPr="00B63086" w:rsidRDefault="001763B0" w:rsidP="00B63086">
            <w:pPr>
              <w:pStyle w:val="ListParagraph"/>
              <w:ind w:left="360"/>
              <w:rPr>
                <w:rFonts w:ascii="Arial" w:hAnsi="Arial" w:cs="Arial"/>
                <w:sz w:val="24"/>
              </w:rPr>
            </w:pPr>
          </w:p>
        </w:tc>
      </w:tr>
      <w:tr w:rsidR="00E07AFE" w:rsidRPr="00B63086" w14:paraId="58E1059F" w14:textId="77777777" w:rsidTr="00062F27">
        <w:tc>
          <w:tcPr>
            <w:tcW w:w="9812" w:type="dxa"/>
            <w:shd w:val="clear" w:color="auto" w:fill="000000"/>
          </w:tcPr>
          <w:p w14:paraId="59597B6E" w14:textId="77777777" w:rsidR="00E462C0" w:rsidRPr="00B63086" w:rsidRDefault="00EC3786" w:rsidP="00B63086">
            <w:pPr>
              <w:pStyle w:val="ListParagraph"/>
              <w:numPr>
                <w:ilvl w:val="0"/>
                <w:numId w:val="1"/>
              </w:numPr>
              <w:spacing w:before="120" w:after="120"/>
              <w:ind w:left="360"/>
              <w:rPr>
                <w:rFonts w:ascii="Arial" w:hAnsi="Arial" w:cs="Arial"/>
                <w:b/>
                <w:sz w:val="24"/>
              </w:rPr>
            </w:pPr>
            <w:r w:rsidRPr="00B63086">
              <w:rPr>
                <w:rFonts w:ascii="Arial" w:hAnsi="Arial" w:cs="Arial"/>
                <w:b/>
                <w:sz w:val="24"/>
              </w:rPr>
              <w:t>What am I investing in?</w:t>
            </w:r>
          </w:p>
        </w:tc>
      </w:tr>
      <w:tr w:rsidR="00B6412A" w:rsidRPr="00B63086" w14:paraId="32292B56" w14:textId="77777777" w:rsidTr="00062F27">
        <w:tc>
          <w:tcPr>
            <w:tcW w:w="9812" w:type="dxa"/>
          </w:tcPr>
          <w:p w14:paraId="4BA19CB9" w14:textId="77777777" w:rsidR="00B6412A" w:rsidRPr="00B63086" w:rsidRDefault="00B6412A" w:rsidP="00B63086">
            <w:pPr>
              <w:pStyle w:val="ListParagraph"/>
              <w:ind w:left="360"/>
              <w:rPr>
                <w:rFonts w:ascii="Arial" w:hAnsi="Arial" w:cs="Arial"/>
                <w:sz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020"/>
            </w:tblGrid>
            <w:tr w:rsidR="00E462C0" w:rsidRPr="00B63086" w14:paraId="3A00F61F" w14:textId="77777777" w:rsidTr="00E93717">
              <w:trPr>
                <w:trHeight w:val="656"/>
              </w:trPr>
              <w:tc>
                <w:tcPr>
                  <w:tcW w:w="2605" w:type="dxa"/>
                  <w:shd w:val="clear" w:color="auto" w:fill="D9D9D9" w:themeFill="background1" w:themeFillShade="D9"/>
                </w:tcPr>
                <w:p w14:paraId="120637A2" w14:textId="77777777" w:rsidR="00E462C0" w:rsidRPr="00B63086" w:rsidRDefault="00E462C0" w:rsidP="001763B0">
                  <w:pPr>
                    <w:pStyle w:val="ListParagraph"/>
                    <w:spacing w:before="120" w:after="120"/>
                    <w:ind w:left="0"/>
                    <w:contextualSpacing w:val="0"/>
                    <w:rPr>
                      <w:rFonts w:ascii="Arial" w:hAnsi="Arial" w:cs="Arial"/>
                      <w:b/>
                      <w:sz w:val="24"/>
                    </w:rPr>
                  </w:pPr>
                  <w:r w:rsidRPr="00B63086">
                    <w:rPr>
                      <w:rFonts w:ascii="Arial" w:hAnsi="Arial" w:cs="Arial"/>
                      <w:b/>
                      <w:sz w:val="24"/>
                    </w:rPr>
                    <w:t>Investment objective, strategy and policy</w:t>
                  </w:r>
                </w:p>
              </w:tc>
              <w:tc>
                <w:tcPr>
                  <w:tcW w:w="7020" w:type="dxa"/>
                </w:tcPr>
                <w:p w14:paraId="1390EDD6" w14:textId="77777777" w:rsidR="00E462C0" w:rsidRPr="00B63086" w:rsidRDefault="0026655A" w:rsidP="001763B0">
                  <w:pPr>
                    <w:pStyle w:val="ListParagraph"/>
                    <w:spacing w:before="120" w:after="120"/>
                    <w:ind w:left="0"/>
                    <w:contextualSpacing w:val="0"/>
                    <w:jc w:val="both"/>
                    <w:rPr>
                      <w:rFonts w:ascii="Arial" w:hAnsi="Arial" w:cs="Arial"/>
                      <w:sz w:val="24"/>
                    </w:rPr>
                  </w:pPr>
                  <w:r w:rsidRPr="00B63086">
                    <w:rPr>
                      <w:rFonts w:ascii="Arial" w:hAnsi="Arial" w:cs="Arial"/>
                      <w:sz w:val="24"/>
                    </w:rPr>
                    <w:t xml:space="preserve">To generate moderate </w:t>
                  </w:r>
                  <w:r w:rsidR="00E60B8B" w:rsidRPr="00B63086">
                    <w:rPr>
                      <w:rFonts w:ascii="Arial" w:hAnsi="Arial" w:cs="Arial"/>
                      <w:sz w:val="24"/>
                    </w:rPr>
                    <w:t xml:space="preserve">profit </w:t>
                  </w:r>
                  <w:r w:rsidRPr="00B63086">
                    <w:rPr>
                      <w:rFonts w:ascii="Arial" w:hAnsi="Arial" w:cs="Arial"/>
                      <w:sz w:val="24"/>
                    </w:rPr>
                    <w:t xml:space="preserve">over an agreed period of the investment based on the underlying risk profile of </w:t>
                  </w:r>
                  <w:r w:rsidRPr="00B63086">
                    <w:rPr>
                      <w:rFonts w:ascii="Arial" w:hAnsi="Arial" w:cs="Arial"/>
                      <w:sz w:val="24"/>
                      <w:lang w:val="ms-MY"/>
                    </w:rPr>
                    <w:t>the Venture.</w:t>
                  </w:r>
                </w:p>
              </w:tc>
            </w:tr>
            <w:tr w:rsidR="00E462C0" w:rsidRPr="00B63086" w14:paraId="0A0D4361" w14:textId="77777777" w:rsidTr="00E93717">
              <w:trPr>
                <w:trHeight w:val="980"/>
              </w:trPr>
              <w:tc>
                <w:tcPr>
                  <w:tcW w:w="2605" w:type="dxa"/>
                  <w:shd w:val="clear" w:color="auto" w:fill="D9D9D9" w:themeFill="background1" w:themeFillShade="D9"/>
                </w:tcPr>
                <w:p w14:paraId="51EED2C3" w14:textId="77777777" w:rsidR="00E462C0" w:rsidRPr="00B63086" w:rsidRDefault="00E462C0" w:rsidP="001763B0">
                  <w:pPr>
                    <w:pStyle w:val="ListParagraph"/>
                    <w:spacing w:before="120" w:after="120"/>
                    <w:ind w:left="0"/>
                    <w:contextualSpacing w:val="0"/>
                    <w:rPr>
                      <w:rFonts w:ascii="Arial" w:hAnsi="Arial" w:cs="Arial"/>
                      <w:b/>
                      <w:sz w:val="24"/>
                    </w:rPr>
                  </w:pPr>
                  <w:r w:rsidRPr="00B63086">
                    <w:rPr>
                      <w:rFonts w:ascii="Arial" w:hAnsi="Arial" w:cs="Arial"/>
                      <w:b/>
                      <w:sz w:val="24"/>
                    </w:rPr>
                    <w:t>Risk assessment on the performance of the investment asset</w:t>
                  </w:r>
                </w:p>
              </w:tc>
              <w:tc>
                <w:tcPr>
                  <w:tcW w:w="7020" w:type="dxa"/>
                </w:tcPr>
                <w:p w14:paraId="521851F7" w14:textId="77777777" w:rsidR="00E462C0" w:rsidRPr="00B63086" w:rsidRDefault="0026655A" w:rsidP="001763B0">
                  <w:pPr>
                    <w:pStyle w:val="ListParagraph"/>
                    <w:spacing w:before="120" w:after="120"/>
                    <w:ind w:left="0"/>
                    <w:contextualSpacing w:val="0"/>
                    <w:rPr>
                      <w:rFonts w:ascii="Arial" w:hAnsi="Arial" w:cs="Arial"/>
                      <w:sz w:val="24"/>
                    </w:rPr>
                  </w:pPr>
                  <w:r w:rsidRPr="00B63086">
                    <w:rPr>
                      <w:rFonts w:ascii="Arial" w:hAnsi="Arial" w:cs="Arial"/>
                      <w:sz w:val="24"/>
                      <w:szCs w:val="24"/>
                    </w:rPr>
                    <w:t>Kindly refer to the Information Memorandum.</w:t>
                  </w:r>
                </w:p>
              </w:tc>
            </w:tr>
            <w:tr w:rsidR="0026655A" w:rsidRPr="00B63086" w14:paraId="3DD0A51E" w14:textId="77777777" w:rsidTr="00A32DBB">
              <w:trPr>
                <w:trHeight w:val="1700"/>
              </w:trPr>
              <w:tc>
                <w:tcPr>
                  <w:tcW w:w="2605" w:type="dxa"/>
                  <w:shd w:val="clear" w:color="auto" w:fill="D9D9D9" w:themeFill="background1" w:themeFillShade="D9"/>
                </w:tcPr>
                <w:p w14:paraId="39DEA120" w14:textId="77777777" w:rsidR="0026655A" w:rsidRPr="00B63086" w:rsidRDefault="0026655A" w:rsidP="001763B0">
                  <w:pPr>
                    <w:pStyle w:val="ListParagraph"/>
                    <w:spacing w:before="120" w:after="120"/>
                    <w:ind w:left="0"/>
                    <w:contextualSpacing w:val="0"/>
                    <w:rPr>
                      <w:rFonts w:ascii="Arial" w:hAnsi="Arial" w:cs="Arial"/>
                      <w:b/>
                      <w:sz w:val="24"/>
                    </w:rPr>
                  </w:pPr>
                  <w:r w:rsidRPr="00B63086">
                    <w:rPr>
                      <w:rFonts w:ascii="Arial" w:hAnsi="Arial" w:cs="Arial"/>
                      <w:b/>
                      <w:sz w:val="24"/>
                    </w:rPr>
                    <w:t xml:space="preserve">Total Fund Size </w:t>
                  </w:r>
                </w:p>
              </w:tc>
              <w:tc>
                <w:tcPr>
                  <w:tcW w:w="7020" w:type="dxa"/>
                </w:tcPr>
                <w:p w14:paraId="2CD82E01" w14:textId="77777777" w:rsidR="001763B0" w:rsidRDefault="00C07359" w:rsidP="001763B0">
                  <w:pPr>
                    <w:pStyle w:val="ListParagraph"/>
                    <w:spacing w:before="120"/>
                    <w:ind w:left="0"/>
                    <w:contextualSpacing w:val="0"/>
                    <w:rPr>
                      <w:rFonts w:ascii="Arial" w:hAnsi="Arial" w:cs="Arial"/>
                      <w:sz w:val="24"/>
                      <w:szCs w:val="24"/>
                    </w:rPr>
                  </w:pPr>
                  <w:r>
                    <w:rPr>
                      <w:rFonts w:ascii="Arial" w:hAnsi="Arial" w:cs="Arial"/>
                      <w:sz w:val="24"/>
                      <w:szCs w:val="24"/>
                    </w:rPr>
                    <w:t>RM12</w:t>
                  </w:r>
                  <w:r w:rsidR="001763B0" w:rsidRPr="001763B0">
                    <w:rPr>
                      <w:rFonts w:ascii="Arial" w:hAnsi="Arial" w:cs="Arial"/>
                      <w:sz w:val="24"/>
                      <w:szCs w:val="24"/>
                    </w:rPr>
                    <w:t xml:space="preserve">,000,000.00 </w:t>
                  </w:r>
                  <w:r w:rsidR="001763B0" w:rsidRPr="001763B0">
                    <w:rPr>
                      <w:rFonts w:ascii="Arial" w:hAnsi="Arial" w:cs="Arial"/>
                      <w:i/>
                      <w:sz w:val="24"/>
                      <w:szCs w:val="24"/>
                    </w:rPr>
                    <w:t xml:space="preserve">(Ringgit Malaysia: </w:t>
                  </w:r>
                  <w:r>
                    <w:rPr>
                      <w:rFonts w:ascii="Arial" w:hAnsi="Arial" w:cs="Arial"/>
                      <w:i/>
                      <w:sz w:val="24"/>
                      <w:szCs w:val="24"/>
                    </w:rPr>
                    <w:t>Twelve</w:t>
                  </w:r>
                  <w:r w:rsidR="001763B0" w:rsidRPr="001763B0">
                    <w:rPr>
                      <w:rFonts w:ascii="Arial" w:hAnsi="Arial" w:cs="Arial"/>
                      <w:i/>
                      <w:sz w:val="24"/>
                      <w:szCs w:val="24"/>
                    </w:rPr>
                    <w:t xml:space="preserve"> Million Only).</w:t>
                  </w:r>
                </w:p>
                <w:p w14:paraId="7C69ACFC" w14:textId="77777777" w:rsidR="001763B0" w:rsidRPr="001763B0" w:rsidRDefault="001763B0" w:rsidP="001763B0">
                  <w:pPr>
                    <w:pStyle w:val="ListParagraph"/>
                    <w:ind w:left="0"/>
                    <w:contextualSpacing w:val="0"/>
                    <w:rPr>
                      <w:rFonts w:ascii="Arial" w:hAnsi="Arial" w:cs="Arial"/>
                      <w:sz w:val="24"/>
                      <w:szCs w:val="24"/>
                    </w:rPr>
                  </w:pPr>
                </w:p>
                <w:p w14:paraId="7D1E2A77" w14:textId="77777777" w:rsidR="00E436E4" w:rsidRPr="001763B0" w:rsidRDefault="000E0A20" w:rsidP="001763B0">
                  <w:pPr>
                    <w:pStyle w:val="ListParagraph"/>
                    <w:spacing w:after="120"/>
                    <w:ind w:left="0"/>
                    <w:contextualSpacing w:val="0"/>
                    <w:rPr>
                      <w:rFonts w:ascii="Arial" w:hAnsi="Arial" w:cs="Arial"/>
                      <w:sz w:val="24"/>
                      <w:u w:val="single"/>
                    </w:rPr>
                  </w:pPr>
                  <w:r w:rsidRPr="001763B0">
                    <w:rPr>
                      <w:rFonts w:ascii="Arial" w:hAnsi="Arial" w:cs="Arial"/>
                      <w:sz w:val="24"/>
                      <w:u w:val="single"/>
                    </w:rPr>
                    <w:t xml:space="preserve">Campaign </w:t>
                  </w:r>
                  <w:r w:rsidR="00E436E4" w:rsidRPr="001763B0">
                    <w:rPr>
                      <w:rFonts w:ascii="Arial" w:hAnsi="Arial" w:cs="Arial"/>
                      <w:sz w:val="24"/>
                      <w:u w:val="single"/>
                    </w:rPr>
                    <w:t>Period</w:t>
                  </w:r>
                </w:p>
                <w:p w14:paraId="09501F3B" w14:textId="77777777" w:rsidR="00E436E4" w:rsidRPr="00C07359" w:rsidRDefault="001B0087" w:rsidP="001763B0">
                  <w:pPr>
                    <w:pStyle w:val="ListParagraph"/>
                    <w:numPr>
                      <w:ilvl w:val="0"/>
                      <w:numId w:val="7"/>
                    </w:numPr>
                    <w:spacing w:before="120" w:after="120"/>
                    <w:contextualSpacing w:val="0"/>
                    <w:rPr>
                      <w:rFonts w:ascii="Arial" w:hAnsi="Arial" w:cs="Arial"/>
                      <w:sz w:val="24"/>
                      <w:highlight w:val="yellow"/>
                    </w:rPr>
                  </w:pPr>
                  <w:commentRangeStart w:id="0"/>
                  <w:r w:rsidRPr="00C07359">
                    <w:rPr>
                      <w:rFonts w:ascii="Arial" w:hAnsi="Arial" w:cs="Arial"/>
                      <w:sz w:val="24"/>
                      <w:highlight w:val="yellow"/>
                    </w:rPr>
                    <w:t xml:space="preserve">Campaign </w:t>
                  </w:r>
                  <w:r w:rsidR="0026655A" w:rsidRPr="00C07359">
                    <w:rPr>
                      <w:rFonts w:ascii="Arial" w:hAnsi="Arial" w:cs="Arial"/>
                      <w:sz w:val="24"/>
                      <w:highlight w:val="yellow"/>
                    </w:rPr>
                    <w:t xml:space="preserve">Opening Date: </w:t>
                  </w:r>
                  <w:r w:rsidR="00276F50" w:rsidRPr="00C07359">
                    <w:rPr>
                      <w:rFonts w:ascii="Arial" w:hAnsi="Arial" w:cs="Arial"/>
                      <w:sz w:val="24"/>
                      <w:highlight w:val="yellow"/>
                    </w:rPr>
                    <w:t>12</w:t>
                  </w:r>
                  <w:r w:rsidR="00B50AE8" w:rsidRPr="00C07359">
                    <w:rPr>
                      <w:rFonts w:ascii="Arial" w:hAnsi="Arial" w:cs="Arial"/>
                      <w:sz w:val="24"/>
                      <w:highlight w:val="yellow"/>
                    </w:rPr>
                    <w:t>.</w:t>
                  </w:r>
                  <w:r w:rsidR="00276F50" w:rsidRPr="00C07359">
                    <w:rPr>
                      <w:rFonts w:ascii="Arial" w:hAnsi="Arial" w:cs="Arial"/>
                      <w:sz w:val="24"/>
                      <w:highlight w:val="yellow"/>
                    </w:rPr>
                    <w:t>01</w:t>
                  </w:r>
                  <w:r w:rsidR="00B50AE8" w:rsidRPr="00C07359">
                    <w:rPr>
                      <w:rFonts w:ascii="Arial" w:hAnsi="Arial" w:cs="Arial"/>
                      <w:sz w:val="24"/>
                      <w:highlight w:val="yellow"/>
                    </w:rPr>
                    <w:t xml:space="preserve"> </w:t>
                  </w:r>
                  <w:r w:rsidR="00276F50" w:rsidRPr="00C07359">
                    <w:rPr>
                      <w:rFonts w:ascii="Arial" w:hAnsi="Arial" w:cs="Arial"/>
                      <w:sz w:val="24"/>
                      <w:highlight w:val="yellow"/>
                    </w:rPr>
                    <w:t>a</w:t>
                  </w:r>
                  <w:r w:rsidR="00B50AE8" w:rsidRPr="00C07359">
                    <w:rPr>
                      <w:rFonts w:ascii="Arial" w:hAnsi="Arial" w:cs="Arial"/>
                      <w:sz w:val="24"/>
                      <w:highlight w:val="yellow"/>
                    </w:rPr>
                    <w:t>.m.</w:t>
                  </w:r>
                  <w:r w:rsidR="0026655A" w:rsidRPr="00C07359">
                    <w:rPr>
                      <w:rFonts w:ascii="Arial" w:hAnsi="Arial" w:cs="Arial"/>
                      <w:sz w:val="24"/>
                      <w:highlight w:val="yellow"/>
                    </w:rPr>
                    <w:t xml:space="preserve"> </w:t>
                  </w:r>
                  <w:r w:rsidR="00362175" w:rsidRPr="00C07359">
                    <w:rPr>
                      <w:rFonts w:ascii="Arial" w:hAnsi="Arial" w:cs="Arial"/>
                      <w:sz w:val="24"/>
                      <w:highlight w:val="yellow"/>
                    </w:rPr>
                    <w:t xml:space="preserve">(14 November </w:t>
                  </w:r>
                  <w:r w:rsidR="00E93717" w:rsidRPr="00C07359">
                    <w:rPr>
                      <w:rFonts w:ascii="Arial" w:hAnsi="Arial" w:cs="Arial"/>
                      <w:sz w:val="24"/>
                      <w:highlight w:val="yellow"/>
                    </w:rPr>
                    <w:t>2016</w:t>
                  </w:r>
                  <w:r w:rsidR="00362175" w:rsidRPr="00C07359">
                    <w:rPr>
                      <w:rFonts w:ascii="Arial" w:hAnsi="Arial" w:cs="Arial"/>
                      <w:sz w:val="24"/>
                      <w:highlight w:val="yellow"/>
                    </w:rPr>
                    <w:t>)</w:t>
                  </w:r>
                </w:p>
                <w:p w14:paraId="61CAC19F" w14:textId="77777777" w:rsidR="0026655A" w:rsidRPr="00C07359" w:rsidRDefault="001B0087" w:rsidP="001763B0">
                  <w:pPr>
                    <w:pStyle w:val="ListParagraph"/>
                    <w:numPr>
                      <w:ilvl w:val="0"/>
                      <w:numId w:val="7"/>
                    </w:numPr>
                    <w:spacing w:before="120" w:after="120"/>
                    <w:contextualSpacing w:val="0"/>
                    <w:rPr>
                      <w:rFonts w:ascii="Arial" w:hAnsi="Arial" w:cs="Arial"/>
                      <w:sz w:val="24"/>
                      <w:highlight w:val="yellow"/>
                    </w:rPr>
                  </w:pPr>
                  <w:r w:rsidRPr="00C07359">
                    <w:rPr>
                      <w:rFonts w:ascii="Arial" w:hAnsi="Arial" w:cs="Arial"/>
                      <w:sz w:val="24"/>
                      <w:highlight w:val="yellow"/>
                    </w:rPr>
                    <w:t xml:space="preserve">Campaign </w:t>
                  </w:r>
                  <w:r w:rsidR="0026655A" w:rsidRPr="00C07359">
                    <w:rPr>
                      <w:rFonts w:ascii="Arial" w:hAnsi="Arial" w:cs="Arial"/>
                      <w:sz w:val="24"/>
                      <w:highlight w:val="yellow"/>
                    </w:rPr>
                    <w:t xml:space="preserve">Closing Date: </w:t>
                  </w:r>
                  <w:r w:rsidR="00276F50" w:rsidRPr="00C07359">
                    <w:rPr>
                      <w:rFonts w:ascii="Arial" w:hAnsi="Arial" w:cs="Arial"/>
                      <w:sz w:val="24"/>
                      <w:highlight w:val="yellow"/>
                    </w:rPr>
                    <w:t>11</w:t>
                  </w:r>
                  <w:r w:rsidR="00B50AE8" w:rsidRPr="00C07359">
                    <w:rPr>
                      <w:rFonts w:ascii="Arial" w:hAnsi="Arial" w:cs="Arial"/>
                      <w:sz w:val="24"/>
                      <w:highlight w:val="yellow"/>
                    </w:rPr>
                    <w:t>.</w:t>
                  </w:r>
                  <w:r w:rsidR="00276F50" w:rsidRPr="00C07359">
                    <w:rPr>
                      <w:rFonts w:ascii="Arial" w:hAnsi="Arial" w:cs="Arial"/>
                      <w:sz w:val="24"/>
                      <w:highlight w:val="yellow"/>
                    </w:rPr>
                    <w:t>59</w:t>
                  </w:r>
                  <w:r w:rsidR="00B50AE8" w:rsidRPr="00C07359">
                    <w:rPr>
                      <w:rFonts w:ascii="Arial" w:hAnsi="Arial" w:cs="Arial"/>
                      <w:sz w:val="24"/>
                      <w:highlight w:val="yellow"/>
                    </w:rPr>
                    <w:t xml:space="preserve"> p.m.</w:t>
                  </w:r>
                  <w:r w:rsidR="0026655A" w:rsidRPr="00C07359">
                    <w:rPr>
                      <w:rFonts w:ascii="Arial" w:hAnsi="Arial" w:cs="Arial"/>
                      <w:sz w:val="24"/>
                      <w:highlight w:val="yellow"/>
                    </w:rPr>
                    <w:t xml:space="preserve"> </w:t>
                  </w:r>
                  <w:r w:rsidR="006F21ED" w:rsidRPr="00C07359">
                    <w:rPr>
                      <w:rFonts w:ascii="Arial" w:hAnsi="Arial" w:cs="Arial"/>
                      <w:sz w:val="24"/>
                      <w:highlight w:val="yellow"/>
                    </w:rPr>
                    <w:t>(</w:t>
                  </w:r>
                  <w:r w:rsidR="00362175" w:rsidRPr="00C07359">
                    <w:rPr>
                      <w:rFonts w:ascii="Arial" w:hAnsi="Arial" w:cs="Arial"/>
                      <w:sz w:val="24"/>
                      <w:highlight w:val="yellow"/>
                    </w:rPr>
                    <w:t xml:space="preserve">2 December </w:t>
                  </w:r>
                  <w:r w:rsidR="00E93717" w:rsidRPr="00C07359">
                    <w:rPr>
                      <w:rFonts w:ascii="Arial" w:hAnsi="Arial" w:cs="Arial"/>
                      <w:sz w:val="24"/>
                      <w:highlight w:val="yellow"/>
                    </w:rPr>
                    <w:t>2016</w:t>
                  </w:r>
                  <w:r w:rsidR="006F21ED" w:rsidRPr="00C07359">
                    <w:rPr>
                      <w:rFonts w:ascii="Arial" w:hAnsi="Arial" w:cs="Arial"/>
                      <w:sz w:val="24"/>
                      <w:highlight w:val="yellow"/>
                    </w:rPr>
                    <w:t>)</w:t>
                  </w:r>
                </w:p>
                <w:commentRangeEnd w:id="0"/>
                <w:p w14:paraId="3A72CA87" w14:textId="77777777" w:rsidR="00E12D73" w:rsidRDefault="002219C1" w:rsidP="001763B0">
                  <w:pPr>
                    <w:pStyle w:val="ListParagraph"/>
                    <w:spacing w:before="120" w:after="120"/>
                    <w:ind w:left="0"/>
                    <w:contextualSpacing w:val="0"/>
                    <w:jc w:val="both"/>
                    <w:rPr>
                      <w:rFonts w:ascii="Arial" w:hAnsi="Arial" w:cs="Arial"/>
                      <w:i/>
                      <w:sz w:val="24"/>
                    </w:rPr>
                  </w:pPr>
                  <w:r>
                    <w:rPr>
                      <w:rStyle w:val="CommentReference"/>
                    </w:rPr>
                    <w:commentReference w:id="0"/>
                  </w:r>
                  <w:r w:rsidR="00E436E4" w:rsidRPr="001763B0">
                    <w:rPr>
                      <w:rFonts w:ascii="Arial" w:hAnsi="Arial" w:cs="Arial"/>
                      <w:i/>
                      <w:sz w:val="24"/>
                    </w:rPr>
                    <w:t>Note</w:t>
                  </w:r>
                  <w:r w:rsidR="00E12D73">
                    <w:rPr>
                      <w:rFonts w:ascii="Arial" w:hAnsi="Arial" w:cs="Arial"/>
                      <w:i/>
                      <w:sz w:val="24"/>
                    </w:rPr>
                    <w:t>s</w:t>
                  </w:r>
                  <w:r w:rsidR="00E436E4" w:rsidRPr="001763B0">
                    <w:rPr>
                      <w:rFonts w:ascii="Arial" w:hAnsi="Arial" w:cs="Arial"/>
                      <w:i/>
                      <w:sz w:val="24"/>
                    </w:rPr>
                    <w:t>:</w:t>
                  </w:r>
                </w:p>
                <w:p w14:paraId="60D067BF" w14:textId="77777777" w:rsidR="001B0087" w:rsidRPr="001763B0" w:rsidRDefault="00E436E4" w:rsidP="00E12D73">
                  <w:pPr>
                    <w:pStyle w:val="ListParagraph"/>
                    <w:numPr>
                      <w:ilvl w:val="0"/>
                      <w:numId w:val="25"/>
                    </w:numPr>
                    <w:spacing w:before="120" w:after="120"/>
                    <w:ind w:left="432" w:hanging="432"/>
                    <w:contextualSpacing w:val="0"/>
                    <w:jc w:val="both"/>
                    <w:rPr>
                      <w:rFonts w:ascii="Arial" w:hAnsi="Arial" w:cs="Arial"/>
                      <w:i/>
                      <w:sz w:val="24"/>
                    </w:rPr>
                  </w:pPr>
                  <w:r w:rsidRPr="001763B0">
                    <w:rPr>
                      <w:rFonts w:ascii="Arial" w:hAnsi="Arial" w:cs="Arial"/>
                      <w:i/>
                      <w:sz w:val="24"/>
                    </w:rPr>
                    <w:t xml:space="preserve">All funds received during the </w:t>
                  </w:r>
                  <w:r w:rsidR="00E60B8B" w:rsidRPr="001763B0">
                    <w:rPr>
                      <w:rFonts w:ascii="Arial" w:hAnsi="Arial" w:cs="Arial"/>
                      <w:i/>
                      <w:sz w:val="24"/>
                    </w:rPr>
                    <w:t>Campaign</w:t>
                  </w:r>
                  <w:r w:rsidRPr="001763B0">
                    <w:rPr>
                      <w:rFonts w:ascii="Arial" w:hAnsi="Arial" w:cs="Arial"/>
                      <w:i/>
                      <w:sz w:val="24"/>
                    </w:rPr>
                    <w:t xml:space="preserve"> </w:t>
                  </w:r>
                  <w:r w:rsidR="00E60B8B" w:rsidRPr="001763B0">
                    <w:rPr>
                      <w:rFonts w:ascii="Arial" w:hAnsi="Arial" w:cs="Arial"/>
                      <w:i/>
                      <w:sz w:val="24"/>
                    </w:rPr>
                    <w:t>P</w:t>
                  </w:r>
                  <w:r w:rsidRPr="001763B0">
                    <w:rPr>
                      <w:rFonts w:ascii="Arial" w:hAnsi="Arial" w:cs="Arial"/>
                      <w:i/>
                      <w:sz w:val="24"/>
                    </w:rPr>
                    <w:t xml:space="preserve">eriod will be placed in a non-income bearing </w:t>
                  </w:r>
                  <w:r w:rsidR="00E60B8B" w:rsidRPr="001763B0">
                    <w:rPr>
                      <w:rFonts w:ascii="Arial" w:hAnsi="Arial" w:cs="Arial"/>
                      <w:i/>
                      <w:sz w:val="24"/>
                    </w:rPr>
                    <w:t>designated collection</w:t>
                  </w:r>
                  <w:r w:rsidR="000A5203" w:rsidRPr="001763B0">
                    <w:rPr>
                      <w:rFonts w:ascii="Arial" w:hAnsi="Arial" w:cs="Arial"/>
                      <w:i/>
                      <w:sz w:val="24"/>
                    </w:rPr>
                    <w:t xml:space="preserve"> </w:t>
                  </w:r>
                  <w:r w:rsidR="007C427B" w:rsidRPr="001763B0">
                    <w:rPr>
                      <w:rFonts w:ascii="Arial" w:hAnsi="Arial" w:cs="Arial"/>
                      <w:i/>
                      <w:sz w:val="24"/>
                    </w:rPr>
                    <w:t>account. If</w:t>
                  </w:r>
                  <w:r w:rsidRPr="001763B0">
                    <w:rPr>
                      <w:rFonts w:ascii="Arial" w:hAnsi="Arial" w:cs="Arial"/>
                      <w:i/>
                      <w:sz w:val="24"/>
                    </w:rPr>
                    <w:t xml:space="preserve"> the </w:t>
                  </w:r>
                  <w:r w:rsidR="00E12D73">
                    <w:rPr>
                      <w:rFonts w:ascii="Arial" w:hAnsi="Arial" w:cs="Arial"/>
                      <w:i/>
                      <w:sz w:val="24"/>
                    </w:rPr>
                    <w:t>T</w:t>
                  </w:r>
                  <w:r w:rsidR="001B0087" w:rsidRPr="001763B0">
                    <w:rPr>
                      <w:rFonts w:ascii="Arial" w:hAnsi="Arial" w:cs="Arial"/>
                      <w:i/>
                      <w:sz w:val="24"/>
                    </w:rPr>
                    <w:t xml:space="preserve">otal </w:t>
                  </w:r>
                  <w:r w:rsidR="00E12D73">
                    <w:rPr>
                      <w:rFonts w:ascii="Arial" w:hAnsi="Arial" w:cs="Arial"/>
                      <w:i/>
                      <w:sz w:val="24"/>
                    </w:rPr>
                    <w:t>F</w:t>
                  </w:r>
                  <w:r w:rsidR="001B0087" w:rsidRPr="001763B0">
                    <w:rPr>
                      <w:rFonts w:ascii="Arial" w:hAnsi="Arial" w:cs="Arial"/>
                      <w:i/>
                      <w:sz w:val="24"/>
                    </w:rPr>
                    <w:t xml:space="preserve">und </w:t>
                  </w:r>
                  <w:r w:rsidR="00E12D73">
                    <w:rPr>
                      <w:rFonts w:ascii="Arial" w:hAnsi="Arial" w:cs="Arial"/>
                      <w:i/>
                      <w:sz w:val="24"/>
                    </w:rPr>
                    <w:t>S</w:t>
                  </w:r>
                  <w:r w:rsidR="001B0087" w:rsidRPr="001763B0">
                    <w:rPr>
                      <w:rFonts w:ascii="Arial" w:hAnsi="Arial" w:cs="Arial"/>
                      <w:i/>
                      <w:sz w:val="24"/>
                    </w:rPr>
                    <w:t xml:space="preserve">ize </w:t>
                  </w:r>
                  <w:r w:rsidRPr="001763B0">
                    <w:rPr>
                      <w:rFonts w:ascii="Arial" w:hAnsi="Arial" w:cs="Arial"/>
                      <w:i/>
                      <w:sz w:val="24"/>
                    </w:rPr>
                    <w:t xml:space="preserve">is not met on the close of the </w:t>
                  </w:r>
                  <w:r w:rsidR="001B0087" w:rsidRPr="001763B0">
                    <w:rPr>
                      <w:rFonts w:ascii="Arial" w:hAnsi="Arial" w:cs="Arial"/>
                      <w:i/>
                      <w:sz w:val="24"/>
                    </w:rPr>
                    <w:t xml:space="preserve">Campaign </w:t>
                  </w:r>
                  <w:r w:rsidRPr="001763B0">
                    <w:rPr>
                      <w:rFonts w:ascii="Arial" w:hAnsi="Arial" w:cs="Arial"/>
                      <w:i/>
                      <w:sz w:val="24"/>
                    </w:rPr>
                    <w:t xml:space="preserve">Period, </w:t>
                  </w:r>
                  <w:r w:rsidR="009307C5" w:rsidRPr="001763B0">
                    <w:rPr>
                      <w:rFonts w:ascii="Arial" w:hAnsi="Arial" w:cs="Arial"/>
                      <w:i/>
                      <w:sz w:val="24"/>
                    </w:rPr>
                    <w:t>the Sponsoring Bank may</w:t>
                  </w:r>
                  <w:r w:rsidR="001B0087" w:rsidRPr="001763B0">
                    <w:rPr>
                      <w:rFonts w:ascii="Arial" w:hAnsi="Arial" w:cs="Arial"/>
                      <w:i/>
                      <w:sz w:val="24"/>
                    </w:rPr>
                    <w:t>, at its discretion,</w:t>
                  </w:r>
                  <w:r w:rsidR="001763B0">
                    <w:rPr>
                      <w:rFonts w:ascii="Arial" w:hAnsi="Arial" w:cs="Arial"/>
                      <w:i/>
                      <w:sz w:val="24"/>
                    </w:rPr>
                    <w:t>:-</w:t>
                  </w:r>
                </w:p>
                <w:p w14:paraId="3628E7E6" w14:textId="77777777" w:rsidR="005C3881" w:rsidRPr="001763B0" w:rsidRDefault="00CD32CC" w:rsidP="00E12D73">
                  <w:pPr>
                    <w:pStyle w:val="ListParagraph"/>
                    <w:numPr>
                      <w:ilvl w:val="1"/>
                      <w:numId w:val="18"/>
                    </w:numPr>
                    <w:spacing w:before="120" w:after="120"/>
                    <w:ind w:left="882" w:hanging="450"/>
                    <w:contextualSpacing w:val="0"/>
                    <w:rPr>
                      <w:rFonts w:ascii="Arial" w:hAnsi="Arial" w:cs="Arial"/>
                      <w:i/>
                      <w:sz w:val="24"/>
                    </w:rPr>
                  </w:pPr>
                  <w:r>
                    <w:rPr>
                      <w:rFonts w:ascii="Arial" w:hAnsi="Arial" w:cs="Arial"/>
                      <w:i/>
                      <w:sz w:val="24"/>
                    </w:rPr>
                    <w:t xml:space="preserve">extend the Campaign Period; </w:t>
                  </w:r>
                </w:p>
                <w:p w14:paraId="5A553067" w14:textId="77777777" w:rsidR="005C3881" w:rsidRPr="001763B0" w:rsidRDefault="001B0087" w:rsidP="00E12D73">
                  <w:pPr>
                    <w:pStyle w:val="ListParagraph"/>
                    <w:numPr>
                      <w:ilvl w:val="1"/>
                      <w:numId w:val="18"/>
                    </w:numPr>
                    <w:spacing w:before="120" w:after="120"/>
                    <w:ind w:left="882" w:hanging="450"/>
                    <w:contextualSpacing w:val="0"/>
                    <w:rPr>
                      <w:rFonts w:ascii="Arial" w:hAnsi="Arial" w:cs="Arial"/>
                      <w:i/>
                      <w:sz w:val="24"/>
                    </w:rPr>
                  </w:pPr>
                  <w:r w:rsidRPr="001763B0">
                    <w:rPr>
                      <w:rFonts w:ascii="Arial" w:hAnsi="Arial" w:cs="Arial"/>
                      <w:i/>
                      <w:sz w:val="24"/>
                    </w:rPr>
                    <w:t xml:space="preserve">reduce the size of the fund to be raised; or </w:t>
                  </w:r>
                </w:p>
                <w:p w14:paraId="112ED50F" w14:textId="77777777" w:rsidR="005C3881" w:rsidRPr="001763B0" w:rsidRDefault="00CD32CC" w:rsidP="00E12D73">
                  <w:pPr>
                    <w:pStyle w:val="ListParagraph"/>
                    <w:numPr>
                      <w:ilvl w:val="1"/>
                      <w:numId w:val="18"/>
                    </w:numPr>
                    <w:spacing w:before="120" w:after="120"/>
                    <w:ind w:left="882" w:hanging="450"/>
                    <w:contextualSpacing w:val="0"/>
                    <w:rPr>
                      <w:rFonts w:ascii="Arial" w:hAnsi="Arial" w:cs="Arial"/>
                      <w:i/>
                      <w:sz w:val="24"/>
                    </w:rPr>
                  </w:pPr>
                  <w:r>
                    <w:rPr>
                      <w:rFonts w:ascii="Arial" w:hAnsi="Arial" w:cs="Arial"/>
                      <w:i/>
                      <w:sz w:val="24"/>
                    </w:rPr>
                    <w:lastRenderedPageBreak/>
                    <w:t xml:space="preserve">abort </w:t>
                  </w:r>
                  <w:r w:rsidR="001B0087" w:rsidRPr="001763B0">
                    <w:rPr>
                      <w:rFonts w:ascii="Arial" w:hAnsi="Arial" w:cs="Arial"/>
                      <w:i/>
                      <w:sz w:val="24"/>
                    </w:rPr>
                    <w:t xml:space="preserve">the fund raising exercise.  </w:t>
                  </w:r>
                </w:p>
                <w:p w14:paraId="4CB05AAB" w14:textId="77777777" w:rsidR="0026655A" w:rsidRDefault="001B0087" w:rsidP="00E12D73">
                  <w:pPr>
                    <w:pStyle w:val="ListParagraph"/>
                    <w:spacing w:before="120" w:after="120"/>
                    <w:ind w:left="432"/>
                    <w:contextualSpacing w:val="0"/>
                    <w:jc w:val="both"/>
                    <w:rPr>
                      <w:rFonts w:ascii="Arial" w:hAnsi="Arial" w:cs="Arial"/>
                      <w:i/>
                      <w:sz w:val="24"/>
                    </w:rPr>
                  </w:pPr>
                  <w:r w:rsidRPr="001763B0">
                    <w:rPr>
                      <w:rFonts w:ascii="Arial" w:hAnsi="Arial" w:cs="Arial"/>
                      <w:i/>
                      <w:sz w:val="24"/>
                    </w:rPr>
                    <w:t xml:space="preserve">If the fund raising exercise is aborted, any </w:t>
                  </w:r>
                  <w:r w:rsidR="00E436E4" w:rsidRPr="001763B0">
                    <w:rPr>
                      <w:rFonts w:ascii="Arial" w:hAnsi="Arial" w:cs="Arial"/>
                      <w:i/>
                      <w:sz w:val="24"/>
                    </w:rPr>
                    <w:t xml:space="preserve">amount received for the purpose of the Venture will be </w:t>
                  </w:r>
                  <w:r w:rsidRPr="001763B0">
                    <w:rPr>
                      <w:rFonts w:ascii="Arial" w:hAnsi="Arial" w:cs="Arial"/>
                      <w:i/>
                      <w:sz w:val="24"/>
                    </w:rPr>
                    <w:t xml:space="preserve">refunded </w:t>
                  </w:r>
                  <w:r w:rsidR="00E436E4" w:rsidRPr="001763B0">
                    <w:rPr>
                      <w:rFonts w:ascii="Arial" w:hAnsi="Arial" w:cs="Arial"/>
                      <w:i/>
                      <w:sz w:val="24"/>
                    </w:rPr>
                    <w:t>to the IAH</w:t>
                  </w:r>
                  <w:r w:rsidR="00CD32CC">
                    <w:rPr>
                      <w:rFonts w:ascii="Arial" w:hAnsi="Arial" w:cs="Arial"/>
                      <w:i/>
                      <w:sz w:val="24"/>
                    </w:rPr>
                    <w:t>(s)</w:t>
                  </w:r>
                  <w:r w:rsidR="00E436E4" w:rsidRPr="001763B0">
                    <w:rPr>
                      <w:rFonts w:ascii="Arial" w:hAnsi="Arial" w:cs="Arial"/>
                      <w:i/>
                      <w:sz w:val="24"/>
                    </w:rPr>
                    <w:t xml:space="preserve"> free from any return or profit.</w:t>
                  </w:r>
                </w:p>
                <w:p w14:paraId="24933122" w14:textId="77777777" w:rsidR="00E12D73" w:rsidRPr="00E12D73" w:rsidRDefault="00E12D73" w:rsidP="00E12D73">
                  <w:pPr>
                    <w:pStyle w:val="ListParagraph"/>
                    <w:numPr>
                      <w:ilvl w:val="0"/>
                      <w:numId w:val="25"/>
                    </w:numPr>
                    <w:spacing w:before="120" w:after="120"/>
                    <w:ind w:left="432" w:hanging="432"/>
                    <w:jc w:val="both"/>
                    <w:rPr>
                      <w:rFonts w:ascii="Arial" w:hAnsi="Arial" w:cs="Arial"/>
                      <w:i/>
                      <w:sz w:val="24"/>
                    </w:rPr>
                  </w:pPr>
                  <w:r w:rsidRPr="00E12D73">
                    <w:rPr>
                      <w:rFonts w:ascii="Arial" w:hAnsi="Arial" w:cs="Arial"/>
                      <w:i/>
                      <w:sz w:val="24"/>
                    </w:rPr>
                    <w:t xml:space="preserve">The Bank shall underwrite up to the Total Fund Size of the unsubscribed portion if the fund raising exercise is not fully subscribed by the IAH(s). </w:t>
                  </w:r>
                </w:p>
              </w:tc>
            </w:tr>
            <w:tr w:rsidR="00E462C0" w:rsidRPr="00B63086" w14:paraId="06453900" w14:textId="77777777" w:rsidTr="00E93717">
              <w:trPr>
                <w:trHeight w:val="818"/>
              </w:trPr>
              <w:tc>
                <w:tcPr>
                  <w:tcW w:w="2605" w:type="dxa"/>
                  <w:shd w:val="clear" w:color="auto" w:fill="D9D9D9" w:themeFill="background1" w:themeFillShade="D9"/>
                </w:tcPr>
                <w:p w14:paraId="085B397B" w14:textId="77777777" w:rsidR="00E462C0" w:rsidRPr="00B63086" w:rsidRDefault="00E462C0" w:rsidP="001763B0">
                  <w:pPr>
                    <w:pStyle w:val="ListParagraph"/>
                    <w:spacing w:before="120" w:after="120"/>
                    <w:ind w:left="0"/>
                    <w:contextualSpacing w:val="0"/>
                    <w:rPr>
                      <w:rFonts w:ascii="Arial" w:hAnsi="Arial" w:cs="Arial"/>
                      <w:b/>
                      <w:sz w:val="24"/>
                    </w:rPr>
                  </w:pPr>
                  <w:r w:rsidRPr="00B63086">
                    <w:rPr>
                      <w:rFonts w:ascii="Arial" w:hAnsi="Arial" w:cs="Arial"/>
                      <w:b/>
                      <w:sz w:val="24"/>
                    </w:rPr>
                    <w:lastRenderedPageBreak/>
                    <w:t xml:space="preserve">Minimum </w:t>
                  </w:r>
                  <w:r w:rsidR="00F56D47" w:rsidRPr="00B63086">
                    <w:rPr>
                      <w:rFonts w:ascii="Arial" w:hAnsi="Arial" w:cs="Arial"/>
                      <w:b/>
                      <w:sz w:val="24"/>
                    </w:rPr>
                    <w:t>I</w:t>
                  </w:r>
                  <w:r w:rsidRPr="00B63086">
                    <w:rPr>
                      <w:rFonts w:ascii="Arial" w:hAnsi="Arial" w:cs="Arial"/>
                      <w:b/>
                      <w:sz w:val="24"/>
                    </w:rPr>
                    <w:t xml:space="preserve">nvestment </w:t>
                  </w:r>
                  <w:r w:rsidR="00F56D47" w:rsidRPr="00B63086">
                    <w:rPr>
                      <w:rFonts w:ascii="Arial" w:hAnsi="Arial" w:cs="Arial"/>
                      <w:b/>
                      <w:sz w:val="24"/>
                    </w:rPr>
                    <w:t>Amount</w:t>
                  </w:r>
                  <w:r w:rsidR="00CD32CC">
                    <w:rPr>
                      <w:rFonts w:ascii="Arial" w:hAnsi="Arial" w:cs="Arial"/>
                      <w:b/>
                      <w:sz w:val="24"/>
                    </w:rPr>
                    <w:t xml:space="preserve"> and Investment Amount</w:t>
                  </w:r>
                  <w:r w:rsidR="00F56D47" w:rsidRPr="00B63086">
                    <w:rPr>
                      <w:rFonts w:ascii="Arial" w:hAnsi="Arial" w:cs="Arial"/>
                      <w:b/>
                      <w:sz w:val="24"/>
                    </w:rPr>
                    <w:t xml:space="preserve"> </w:t>
                  </w:r>
                </w:p>
              </w:tc>
              <w:tc>
                <w:tcPr>
                  <w:tcW w:w="7020" w:type="dxa"/>
                </w:tcPr>
                <w:p w14:paraId="2EB8E566" w14:textId="77777777" w:rsidR="00833A5D" w:rsidRPr="00B63086" w:rsidRDefault="00CD32CC" w:rsidP="002F54E5">
                  <w:pPr>
                    <w:pStyle w:val="ListParagraph"/>
                    <w:spacing w:before="120" w:after="120"/>
                    <w:ind w:left="0"/>
                    <w:contextualSpacing w:val="0"/>
                    <w:jc w:val="both"/>
                    <w:rPr>
                      <w:rFonts w:ascii="Arial" w:hAnsi="Arial" w:cs="Arial"/>
                      <w:sz w:val="24"/>
                    </w:rPr>
                  </w:pPr>
                  <w:r>
                    <w:rPr>
                      <w:rFonts w:ascii="Arial" w:hAnsi="Arial" w:cs="Arial"/>
                      <w:sz w:val="24"/>
                    </w:rPr>
                    <w:t xml:space="preserve">Minimum </w:t>
                  </w:r>
                  <w:r w:rsidR="0071464F" w:rsidRPr="00B63086">
                    <w:rPr>
                      <w:rFonts w:ascii="Arial" w:hAnsi="Arial" w:cs="Arial"/>
                      <w:sz w:val="24"/>
                    </w:rPr>
                    <w:t>RM</w:t>
                  </w:r>
                  <w:r w:rsidR="002F54E5">
                    <w:rPr>
                      <w:rFonts w:ascii="Arial" w:hAnsi="Arial" w:cs="Arial"/>
                      <w:sz w:val="24"/>
                    </w:rPr>
                    <w:t>5</w:t>
                  </w:r>
                  <w:r w:rsidR="002219C1">
                    <w:rPr>
                      <w:rFonts w:ascii="Arial" w:hAnsi="Arial" w:cs="Arial"/>
                      <w:sz w:val="24"/>
                    </w:rPr>
                    <w:t>,000.00</w:t>
                  </w:r>
                  <w:r>
                    <w:rPr>
                      <w:rFonts w:ascii="Arial" w:hAnsi="Arial" w:cs="Arial"/>
                      <w:sz w:val="24"/>
                    </w:rPr>
                    <w:t xml:space="preserve"> </w:t>
                  </w:r>
                  <w:r w:rsidRPr="001763B0">
                    <w:rPr>
                      <w:rFonts w:ascii="Arial" w:hAnsi="Arial" w:cs="Arial"/>
                      <w:i/>
                      <w:sz w:val="24"/>
                      <w:szCs w:val="24"/>
                    </w:rPr>
                    <w:t xml:space="preserve">(Ringgit Malaysia: </w:t>
                  </w:r>
                  <w:r w:rsidR="002F54E5">
                    <w:rPr>
                      <w:rFonts w:ascii="Arial" w:hAnsi="Arial" w:cs="Arial"/>
                      <w:i/>
                      <w:sz w:val="24"/>
                      <w:szCs w:val="24"/>
                    </w:rPr>
                    <w:t>Five</w:t>
                  </w:r>
                  <w:r>
                    <w:rPr>
                      <w:rFonts w:ascii="Arial" w:hAnsi="Arial" w:cs="Arial"/>
                      <w:i/>
                      <w:sz w:val="24"/>
                      <w:szCs w:val="24"/>
                    </w:rPr>
                    <w:t xml:space="preserve"> Thousand </w:t>
                  </w:r>
                  <w:r w:rsidRPr="001763B0">
                    <w:rPr>
                      <w:rFonts w:ascii="Arial" w:hAnsi="Arial" w:cs="Arial"/>
                      <w:i/>
                      <w:sz w:val="24"/>
                      <w:szCs w:val="24"/>
                    </w:rPr>
                    <w:t>Only)</w:t>
                  </w:r>
                  <w:r w:rsidRPr="00B63086">
                    <w:rPr>
                      <w:rFonts w:ascii="Arial" w:hAnsi="Arial" w:cs="Arial"/>
                      <w:sz w:val="24"/>
                    </w:rPr>
                    <w:t xml:space="preserve"> </w:t>
                  </w:r>
                  <w:r w:rsidR="0071464F" w:rsidRPr="00B63086">
                    <w:rPr>
                      <w:rFonts w:ascii="Arial" w:hAnsi="Arial" w:cs="Arial"/>
                      <w:sz w:val="24"/>
                    </w:rPr>
                    <w:t>per IAH</w:t>
                  </w:r>
                  <w:r w:rsidR="00AD7AC3" w:rsidRPr="00B63086">
                    <w:rPr>
                      <w:rFonts w:ascii="Arial" w:hAnsi="Arial" w:cs="Arial"/>
                      <w:sz w:val="24"/>
                    </w:rPr>
                    <w:t xml:space="preserve"> and in the multiple</w:t>
                  </w:r>
                  <w:r w:rsidR="00F82518">
                    <w:rPr>
                      <w:rFonts w:ascii="Arial" w:hAnsi="Arial" w:cs="Arial"/>
                      <w:sz w:val="24"/>
                    </w:rPr>
                    <w:t>s</w:t>
                  </w:r>
                  <w:r w:rsidR="00AD7AC3" w:rsidRPr="00B63086">
                    <w:rPr>
                      <w:rFonts w:ascii="Arial" w:hAnsi="Arial" w:cs="Arial"/>
                      <w:sz w:val="24"/>
                    </w:rPr>
                    <w:t xml:space="preserve"> of </w:t>
                  </w:r>
                  <w:r w:rsidRPr="00B63086">
                    <w:rPr>
                      <w:rFonts w:ascii="Arial" w:hAnsi="Arial" w:cs="Arial"/>
                      <w:sz w:val="24"/>
                    </w:rPr>
                    <w:t>RM</w:t>
                  </w:r>
                  <w:r w:rsidR="002F54E5">
                    <w:rPr>
                      <w:rFonts w:ascii="Arial" w:hAnsi="Arial" w:cs="Arial"/>
                      <w:sz w:val="24"/>
                    </w:rPr>
                    <w:t>5</w:t>
                  </w:r>
                  <w:r>
                    <w:rPr>
                      <w:rFonts w:ascii="Arial" w:hAnsi="Arial" w:cs="Arial"/>
                      <w:sz w:val="24"/>
                    </w:rPr>
                    <w:t xml:space="preserve">,000.00 </w:t>
                  </w:r>
                  <w:r w:rsidRPr="001763B0">
                    <w:rPr>
                      <w:rFonts w:ascii="Arial" w:hAnsi="Arial" w:cs="Arial"/>
                      <w:i/>
                      <w:sz w:val="24"/>
                      <w:szCs w:val="24"/>
                    </w:rPr>
                    <w:t xml:space="preserve">(Ringgit Malaysia: </w:t>
                  </w:r>
                  <w:r w:rsidR="002F54E5">
                    <w:rPr>
                      <w:rFonts w:ascii="Arial" w:hAnsi="Arial" w:cs="Arial"/>
                      <w:i/>
                      <w:sz w:val="24"/>
                      <w:szCs w:val="24"/>
                    </w:rPr>
                    <w:t>Five</w:t>
                  </w:r>
                  <w:r>
                    <w:rPr>
                      <w:rFonts w:ascii="Arial" w:hAnsi="Arial" w:cs="Arial"/>
                      <w:i/>
                      <w:sz w:val="24"/>
                      <w:szCs w:val="24"/>
                    </w:rPr>
                    <w:t xml:space="preserve"> Thousand </w:t>
                  </w:r>
                  <w:r w:rsidRPr="001763B0">
                    <w:rPr>
                      <w:rFonts w:ascii="Arial" w:hAnsi="Arial" w:cs="Arial"/>
                      <w:i/>
                      <w:sz w:val="24"/>
                      <w:szCs w:val="24"/>
                    </w:rPr>
                    <w:t>Only)</w:t>
                  </w:r>
                  <w:r w:rsidR="00F82518">
                    <w:rPr>
                      <w:rFonts w:ascii="Arial" w:hAnsi="Arial" w:cs="Arial"/>
                      <w:i/>
                      <w:sz w:val="24"/>
                      <w:szCs w:val="24"/>
                    </w:rPr>
                    <w:t>.</w:t>
                  </w:r>
                </w:p>
              </w:tc>
            </w:tr>
            <w:tr w:rsidR="00F56D47" w:rsidRPr="00B63086" w14:paraId="60CD4E47" w14:textId="77777777" w:rsidTr="00E93717">
              <w:trPr>
                <w:trHeight w:val="548"/>
              </w:trPr>
              <w:tc>
                <w:tcPr>
                  <w:tcW w:w="2605" w:type="dxa"/>
                  <w:shd w:val="clear" w:color="auto" w:fill="D9D9D9" w:themeFill="background1" w:themeFillShade="D9"/>
                </w:tcPr>
                <w:p w14:paraId="28A8584B" w14:textId="77777777" w:rsidR="00F56D47" w:rsidRPr="00B63086" w:rsidRDefault="00F56D47" w:rsidP="001763B0">
                  <w:pPr>
                    <w:pStyle w:val="ListParagraph"/>
                    <w:spacing w:before="120" w:after="120"/>
                    <w:ind w:left="0"/>
                    <w:contextualSpacing w:val="0"/>
                    <w:rPr>
                      <w:rFonts w:ascii="Arial" w:hAnsi="Arial" w:cs="Arial"/>
                      <w:b/>
                      <w:sz w:val="24"/>
                    </w:rPr>
                  </w:pPr>
                  <w:r w:rsidRPr="00B63086">
                    <w:rPr>
                      <w:rFonts w:ascii="Arial" w:hAnsi="Arial" w:cs="Arial"/>
                      <w:b/>
                      <w:sz w:val="24"/>
                    </w:rPr>
                    <w:t xml:space="preserve">Payment of Investment Amount </w:t>
                  </w:r>
                </w:p>
              </w:tc>
              <w:tc>
                <w:tcPr>
                  <w:tcW w:w="7020" w:type="dxa"/>
                </w:tcPr>
                <w:p w14:paraId="5D4FFDED" w14:textId="77777777" w:rsidR="00F56D47" w:rsidRPr="00B63086" w:rsidRDefault="00D2124A" w:rsidP="00CD32CC">
                  <w:pPr>
                    <w:pStyle w:val="ListParagraph"/>
                    <w:spacing w:before="120" w:after="120"/>
                    <w:ind w:left="0"/>
                    <w:contextualSpacing w:val="0"/>
                    <w:jc w:val="both"/>
                    <w:rPr>
                      <w:rFonts w:ascii="Arial" w:hAnsi="Arial" w:cs="Arial"/>
                      <w:sz w:val="24"/>
                    </w:rPr>
                  </w:pPr>
                  <w:r w:rsidRPr="00B63086">
                    <w:rPr>
                      <w:rFonts w:ascii="Arial" w:hAnsi="Arial" w:cs="Arial"/>
                      <w:sz w:val="24"/>
                    </w:rPr>
                    <w:t xml:space="preserve">Within </w:t>
                  </w:r>
                  <w:r w:rsidR="00CD32CC">
                    <w:rPr>
                      <w:rFonts w:ascii="Arial" w:hAnsi="Arial" w:cs="Arial"/>
                      <w:sz w:val="24"/>
                    </w:rPr>
                    <w:t xml:space="preserve">three (3) </w:t>
                  </w:r>
                  <w:r w:rsidR="006E7655" w:rsidRPr="00B63086">
                    <w:rPr>
                      <w:rFonts w:ascii="Arial" w:hAnsi="Arial" w:cs="Arial"/>
                      <w:sz w:val="24"/>
                    </w:rPr>
                    <w:t xml:space="preserve">Business Days </w:t>
                  </w:r>
                  <w:r w:rsidRPr="00B63086">
                    <w:rPr>
                      <w:rFonts w:ascii="Arial" w:hAnsi="Arial" w:cs="Arial"/>
                      <w:sz w:val="24"/>
                    </w:rPr>
                    <w:t>from the investment booking date.</w:t>
                  </w:r>
                </w:p>
              </w:tc>
            </w:tr>
            <w:tr w:rsidR="00E462C0" w:rsidRPr="00B63086" w14:paraId="14A1D229" w14:textId="77777777" w:rsidTr="00E93717">
              <w:trPr>
                <w:trHeight w:val="188"/>
              </w:trPr>
              <w:tc>
                <w:tcPr>
                  <w:tcW w:w="2605" w:type="dxa"/>
                  <w:shd w:val="clear" w:color="auto" w:fill="D9D9D9" w:themeFill="background1" w:themeFillShade="D9"/>
                </w:tcPr>
                <w:p w14:paraId="3F40EA30" w14:textId="77777777" w:rsidR="00E462C0" w:rsidRPr="00B63086" w:rsidRDefault="00607581" w:rsidP="001763B0">
                  <w:pPr>
                    <w:pStyle w:val="ListParagraph"/>
                    <w:spacing w:before="120" w:after="120"/>
                    <w:ind w:left="0"/>
                    <w:contextualSpacing w:val="0"/>
                    <w:rPr>
                      <w:rFonts w:ascii="Arial" w:hAnsi="Arial" w:cs="Arial"/>
                      <w:b/>
                      <w:sz w:val="24"/>
                    </w:rPr>
                  </w:pPr>
                  <w:r w:rsidRPr="00B63086">
                    <w:rPr>
                      <w:rFonts w:ascii="Arial" w:hAnsi="Arial" w:cs="Arial"/>
                      <w:b/>
                      <w:sz w:val="24"/>
                    </w:rPr>
                    <w:t>Investment tenure</w:t>
                  </w:r>
                </w:p>
              </w:tc>
              <w:tc>
                <w:tcPr>
                  <w:tcW w:w="7020" w:type="dxa"/>
                </w:tcPr>
                <w:p w14:paraId="3864F899" w14:textId="77777777" w:rsidR="00607581" w:rsidRPr="00B63086" w:rsidRDefault="00C07359" w:rsidP="00F82518">
                  <w:pPr>
                    <w:pStyle w:val="ListParagraph"/>
                    <w:spacing w:before="120" w:after="120"/>
                    <w:ind w:left="0"/>
                    <w:contextualSpacing w:val="0"/>
                    <w:jc w:val="both"/>
                    <w:rPr>
                      <w:rFonts w:ascii="Arial" w:hAnsi="Arial" w:cs="Arial"/>
                      <w:sz w:val="24"/>
                    </w:rPr>
                  </w:pPr>
                  <w:r>
                    <w:rPr>
                      <w:rFonts w:ascii="Arial" w:hAnsi="Arial" w:cs="Arial"/>
                      <w:sz w:val="24"/>
                    </w:rPr>
                    <w:t>18 months</w:t>
                  </w:r>
                  <w:r w:rsidR="00F82518">
                    <w:rPr>
                      <w:rFonts w:ascii="Arial" w:hAnsi="Arial" w:cs="Arial"/>
                      <w:sz w:val="24"/>
                    </w:rPr>
                    <w:t xml:space="preserve"> from the date of funds disbursed to the Venture.</w:t>
                  </w:r>
                </w:p>
              </w:tc>
            </w:tr>
            <w:tr w:rsidR="00EB588D" w:rsidRPr="00B63086" w14:paraId="47AB418F" w14:textId="77777777" w:rsidTr="00E93717">
              <w:trPr>
                <w:trHeight w:val="188"/>
              </w:trPr>
              <w:tc>
                <w:tcPr>
                  <w:tcW w:w="2605" w:type="dxa"/>
                  <w:shd w:val="clear" w:color="auto" w:fill="D9D9D9" w:themeFill="background1" w:themeFillShade="D9"/>
                </w:tcPr>
                <w:p w14:paraId="1F083ACD" w14:textId="77777777" w:rsidR="00EB588D" w:rsidRDefault="00EB588D" w:rsidP="00EB588D">
                  <w:pPr>
                    <w:pStyle w:val="ListParagraph"/>
                    <w:spacing w:before="120"/>
                    <w:ind w:left="0"/>
                    <w:contextualSpacing w:val="0"/>
                    <w:rPr>
                      <w:rFonts w:ascii="Arial" w:hAnsi="Arial" w:cs="Arial"/>
                      <w:b/>
                      <w:sz w:val="24"/>
                    </w:rPr>
                  </w:pPr>
                  <w:r>
                    <w:rPr>
                      <w:rFonts w:ascii="Arial" w:hAnsi="Arial" w:cs="Arial"/>
                      <w:b/>
                      <w:sz w:val="24"/>
                    </w:rPr>
                    <w:t>Expected Rate of Return</w:t>
                  </w:r>
                </w:p>
                <w:p w14:paraId="19C47E07" w14:textId="77777777" w:rsidR="00EB588D" w:rsidRPr="00EB588D" w:rsidRDefault="00EB588D" w:rsidP="00E93717">
                  <w:pPr>
                    <w:pStyle w:val="ListParagraph"/>
                    <w:spacing w:after="120"/>
                    <w:ind w:left="0"/>
                    <w:contextualSpacing w:val="0"/>
                    <w:rPr>
                      <w:rFonts w:ascii="Arial" w:hAnsi="Arial" w:cs="Arial"/>
                      <w:b/>
                      <w:i/>
                      <w:sz w:val="24"/>
                    </w:rPr>
                  </w:pPr>
                  <w:r w:rsidRPr="00EB588D">
                    <w:rPr>
                      <w:rFonts w:ascii="Arial" w:hAnsi="Arial" w:cs="Arial"/>
                      <w:i/>
                      <w:sz w:val="24"/>
                    </w:rPr>
                    <w:t xml:space="preserve">(i.e. after less Wakalah </w:t>
                  </w:r>
                  <w:r w:rsidR="00E93717">
                    <w:rPr>
                      <w:rFonts w:ascii="Arial" w:hAnsi="Arial" w:cs="Arial"/>
                      <w:i/>
                      <w:sz w:val="24"/>
                    </w:rPr>
                    <w:t>f</w:t>
                  </w:r>
                  <w:r w:rsidRPr="00EB588D">
                    <w:rPr>
                      <w:rFonts w:ascii="Arial" w:hAnsi="Arial" w:cs="Arial"/>
                      <w:i/>
                      <w:sz w:val="24"/>
                    </w:rPr>
                    <w:t>ee)</w:t>
                  </w:r>
                </w:p>
              </w:tc>
              <w:tc>
                <w:tcPr>
                  <w:tcW w:w="7020" w:type="dxa"/>
                </w:tcPr>
                <w:p w14:paraId="222384D2" w14:textId="77777777" w:rsidR="00EB588D" w:rsidRDefault="003F6AE7" w:rsidP="003F6AE7">
                  <w:pPr>
                    <w:pStyle w:val="ListParagraph"/>
                    <w:spacing w:before="120" w:after="120"/>
                    <w:ind w:left="0"/>
                    <w:contextualSpacing w:val="0"/>
                    <w:rPr>
                      <w:rFonts w:ascii="Arial" w:hAnsi="Arial" w:cs="Arial"/>
                      <w:sz w:val="24"/>
                    </w:rPr>
                  </w:pPr>
                  <w:r>
                    <w:rPr>
                      <w:rFonts w:ascii="Arial" w:hAnsi="Arial" w:cs="Arial"/>
                      <w:sz w:val="24"/>
                    </w:rPr>
                    <w:t>6</w:t>
                  </w:r>
                  <w:r w:rsidR="00EB588D">
                    <w:rPr>
                      <w:rFonts w:ascii="Arial" w:hAnsi="Arial" w:cs="Arial"/>
                      <w:sz w:val="24"/>
                    </w:rPr>
                    <w:t>.</w:t>
                  </w:r>
                  <w:r w:rsidR="00C07359">
                    <w:rPr>
                      <w:rFonts w:ascii="Arial" w:hAnsi="Arial" w:cs="Arial"/>
                      <w:sz w:val="24"/>
                    </w:rPr>
                    <w:t>3</w:t>
                  </w:r>
                  <w:r w:rsidR="00EB588D">
                    <w:rPr>
                      <w:rFonts w:ascii="Arial" w:hAnsi="Arial" w:cs="Arial"/>
                      <w:sz w:val="24"/>
                    </w:rPr>
                    <w:t>0% per annum on the outstanding Total Fund Size.</w:t>
                  </w:r>
                </w:p>
              </w:tc>
            </w:tr>
            <w:tr w:rsidR="00D2124A" w:rsidRPr="00B63086" w14:paraId="56F0A762" w14:textId="77777777" w:rsidTr="00E93717">
              <w:trPr>
                <w:trHeight w:val="14390"/>
              </w:trPr>
              <w:tc>
                <w:tcPr>
                  <w:tcW w:w="2605" w:type="dxa"/>
                  <w:shd w:val="clear" w:color="auto" w:fill="D9D9D9" w:themeFill="background1" w:themeFillShade="D9"/>
                </w:tcPr>
                <w:p w14:paraId="0FFED98D" w14:textId="77777777" w:rsidR="00E128B5" w:rsidRPr="00B63086" w:rsidRDefault="00663AA1" w:rsidP="001763B0">
                  <w:pPr>
                    <w:pStyle w:val="ListParagraph"/>
                    <w:spacing w:before="120" w:after="120"/>
                    <w:ind w:left="0"/>
                    <w:contextualSpacing w:val="0"/>
                    <w:rPr>
                      <w:rFonts w:ascii="Arial" w:hAnsi="Arial" w:cs="Arial"/>
                      <w:b/>
                      <w:sz w:val="24"/>
                    </w:rPr>
                  </w:pPr>
                  <w:r w:rsidRPr="00B63086">
                    <w:rPr>
                      <w:rFonts w:ascii="Arial" w:hAnsi="Arial" w:cs="Arial"/>
                      <w:b/>
                      <w:sz w:val="24"/>
                    </w:rPr>
                    <w:lastRenderedPageBreak/>
                    <w:t xml:space="preserve">Calculation of Profit and </w:t>
                  </w:r>
                  <w:r w:rsidR="00D2124A" w:rsidRPr="00B63086">
                    <w:rPr>
                      <w:rFonts w:ascii="Arial" w:hAnsi="Arial" w:cs="Arial"/>
                      <w:b/>
                      <w:sz w:val="24"/>
                    </w:rPr>
                    <w:t>Expected Rate of Return</w:t>
                  </w:r>
                </w:p>
                <w:p w14:paraId="3EECBE74" w14:textId="77777777" w:rsidR="00D2124A" w:rsidRPr="00B63086" w:rsidRDefault="00D2124A" w:rsidP="001763B0">
                  <w:pPr>
                    <w:pStyle w:val="ListParagraph"/>
                    <w:spacing w:before="120" w:after="120"/>
                    <w:ind w:left="0"/>
                    <w:contextualSpacing w:val="0"/>
                    <w:rPr>
                      <w:rFonts w:ascii="Arial" w:hAnsi="Arial" w:cs="Arial"/>
                      <w:b/>
                      <w:sz w:val="24"/>
                    </w:rPr>
                  </w:pPr>
                </w:p>
              </w:tc>
              <w:tc>
                <w:tcPr>
                  <w:tcW w:w="7020" w:type="dxa"/>
                </w:tcPr>
                <w:p w14:paraId="1B5345E1" w14:textId="77777777" w:rsidR="00AD7AC3" w:rsidRPr="00062F27" w:rsidRDefault="00AD7AC3" w:rsidP="00CD32CC">
                  <w:pPr>
                    <w:pStyle w:val="ListParagraph"/>
                    <w:ind w:left="907"/>
                    <w:contextualSpacing w:val="0"/>
                    <w:rPr>
                      <w:rFonts w:ascii="Arial" w:hAnsi="Arial" w:cs="Arial"/>
                      <w:sz w:val="16"/>
                      <w:szCs w:val="16"/>
                    </w:rPr>
                  </w:pPr>
                </w:p>
                <w:tbl>
                  <w:tblPr>
                    <w:tblW w:w="6812" w:type="dxa"/>
                    <w:tblLayout w:type="fixed"/>
                    <w:tblCellMar>
                      <w:left w:w="0" w:type="dxa"/>
                      <w:right w:w="0" w:type="dxa"/>
                    </w:tblCellMar>
                    <w:tblLook w:val="04A0" w:firstRow="1" w:lastRow="0" w:firstColumn="1" w:lastColumn="0" w:noHBand="0" w:noVBand="1"/>
                  </w:tblPr>
                  <w:tblGrid>
                    <w:gridCol w:w="602"/>
                    <w:gridCol w:w="1288"/>
                    <w:gridCol w:w="4922"/>
                  </w:tblGrid>
                  <w:tr w:rsidR="00E128B5" w:rsidRPr="00B63086" w14:paraId="0C64E8CF" w14:textId="77777777" w:rsidTr="00E93717">
                    <w:trPr>
                      <w:trHeight w:val="328"/>
                    </w:trPr>
                    <w:tc>
                      <w:tcPr>
                        <w:tcW w:w="6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4AC8521" w14:textId="77777777" w:rsidR="00E128B5" w:rsidRPr="00AF4AF2" w:rsidRDefault="00E128B5" w:rsidP="00F82518">
                        <w:pPr>
                          <w:spacing w:before="120" w:after="120"/>
                          <w:jc w:val="center"/>
                          <w:rPr>
                            <w:rFonts w:ascii="Arial" w:eastAsia="Calibri" w:hAnsi="Arial" w:cs="Arial"/>
                            <w:b/>
                            <w:bCs/>
                            <w:sz w:val="20"/>
                            <w:szCs w:val="20"/>
                          </w:rPr>
                        </w:pPr>
                        <w:r w:rsidRPr="00B63086">
                          <w:rPr>
                            <w:rFonts w:ascii="Arial" w:hAnsi="Arial" w:cs="Arial"/>
                            <w:b/>
                            <w:bCs/>
                            <w:sz w:val="20"/>
                            <w:szCs w:val="20"/>
                          </w:rPr>
                          <w:t>No.</w:t>
                        </w:r>
                      </w:p>
                    </w:tc>
                    <w:tc>
                      <w:tcPr>
                        <w:tcW w:w="12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7C2C43" w14:textId="77777777" w:rsidR="00E128B5" w:rsidRPr="00AF4AF2" w:rsidRDefault="00E128B5" w:rsidP="001763B0">
                        <w:pPr>
                          <w:spacing w:before="120" w:after="120"/>
                          <w:rPr>
                            <w:rFonts w:ascii="Arial" w:eastAsia="Calibri" w:hAnsi="Arial" w:cs="Arial"/>
                            <w:b/>
                            <w:bCs/>
                            <w:sz w:val="20"/>
                            <w:szCs w:val="20"/>
                          </w:rPr>
                        </w:pPr>
                        <w:r w:rsidRPr="00B63086">
                          <w:rPr>
                            <w:rFonts w:ascii="Arial" w:hAnsi="Arial" w:cs="Arial"/>
                            <w:b/>
                            <w:bCs/>
                            <w:sz w:val="20"/>
                            <w:szCs w:val="20"/>
                          </w:rPr>
                          <w:t>Category</w:t>
                        </w:r>
                      </w:p>
                    </w:tc>
                    <w:tc>
                      <w:tcPr>
                        <w:tcW w:w="49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BAE80C" w14:textId="77777777" w:rsidR="00E128B5" w:rsidRPr="00AF4AF2" w:rsidRDefault="00E128B5" w:rsidP="001763B0">
                        <w:pPr>
                          <w:spacing w:before="120" w:after="120"/>
                          <w:rPr>
                            <w:rFonts w:ascii="Arial" w:eastAsia="Calibri" w:hAnsi="Arial" w:cs="Arial"/>
                            <w:b/>
                            <w:bCs/>
                            <w:sz w:val="20"/>
                            <w:szCs w:val="20"/>
                          </w:rPr>
                        </w:pPr>
                        <w:r w:rsidRPr="00B63086">
                          <w:rPr>
                            <w:rFonts w:ascii="Arial" w:hAnsi="Arial" w:cs="Arial"/>
                            <w:b/>
                            <w:bCs/>
                            <w:sz w:val="20"/>
                            <w:szCs w:val="20"/>
                          </w:rPr>
                          <w:t>Description</w:t>
                        </w:r>
                      </w:p>
                    </w:tc>
                  </w:tr>
                  <w:tr w:rsidR="00E128B5" w:rsidRPr="00B63086" w14:paraId="2534B8C5" w14:textId="77777777" w:rsidTr="00386210">
                    <w:trPr>
                      <w:trHeight w:val="777"/>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3F583" w14:textId="77777777" w:rsidR="00E128B5" w:rsidRPr="00AF4AF2" w:rsidRDefault="00E128B5" w:rsidP="00386210">
                        <w:pPr>
                          <w:spacing w:before="120" w:after="120"/>
                          <w:jc w:val="center"/>
                          <w:rPr>
                            <w:rFonts w:ascii="Arial" w:eastAsia="Calibri" w:hAnsi="Arial" w:cs="Arial"/>
                            <w:sz w:val="20"/>
                            <w:szCs w:val="20"/>
                          </w:rPr>
                        </w:pPr>
                        <w:r w:rsidRPr="00B63086">
                          <w:rPr>
                            <w:rFonts w:ascii="Arial" w:hAnsi="Arial" w:cs="Arial"/>
                            <w:sz w:val="20"/>
                            <w:szCs w:val="20"/>
                          </w:rPr>
                          <w:t>1.</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482E71CA" w14:textId="77777777" w:rsidR="00E128B5" w:rsidRPr="00B63086" w:rsidRDefault="00E128B5" w:rsidP="008317E1">
                        <w:pPr>
                          <w:spacing w:before="120" w:after="120"/>
                          <w:rPr>
                            <w:rFonts w:ascii="Arial" w:hAnsi="Arial" w:cs="Arial"/>
                            <w:sz w:val="20"/>
                            <w:szCs w:val="20"/>
                          </w:rPr>
                        </w:pPr>
                        <w:r w:rsidRPr="00B63086">
                          <w:rPr>
                            <w:rFonts w:ascii="Arial" w:hAnsi="Arial" w:cs="Arial"/>
                            <w:sz w:val="20"/>
                            <w:szCs w:val="20"/>
                          </w:rPr>
                          <w:t>Pr</w:t>
                        </w:r>
                        <w:r w:rsidR="008317E1">
                          <w:rPr>
                            <w:rFonts w:ascii="Arial" w:hAnsi="Arial" w:cs="Arial"/>
                            <w:sz w:val="20"/>
                            <w:szCs w:val="20"/>
                          </w:rPr>
                          <w:t xml:space="preserve">ofit </w:t>
                        </w:r>
                        <w:r w:rsidRPr="00B63086">
                          <w:rPr>
                            <w:rFonts w:ascii="Arial" w:hAnsi="Arial" w:cs="Arial"/>
                            <w:sz w:val="20"/>
                            <w:szCs w:val="20"/>
                          </w:rPr>
                          <w:t xml:space="preserve"> Distribution</w:t>
                        </w:r>
                      </w:p>
                    </w:tc>
                    <w:tc>
                      <w:tcPr>
                        <w:tcW w:w="4922" w:type="dxa"/>
                        <w:tcBorders>
                          <w:top w:val="nil"/>
                          <w:left w:val="nil"/>
                          <w:bottom w:val="single" w:sz="8" w:space="0" w:color="auto"/>
                          <w:right w:val="single" w:sz="8" w:space="0" w:color="auto"/>
                        </w:tcBorders>
                        <w:tcMar>
                          <w:top w:w="0" w:type="dxa"/>
                          <w:left w:w="108" w:type="dxa"/>
                          <w:bottom w:w="0" w:type="dxa"/>
                          <w:right w:w="108" w:type="dxa"/>
                        </w:tcMar>
                      </w:tcPr>
                      <w:p w14:paraId="38D02BFF" w14:textId="77777777" w:rsidR="00E128B5" w:rsidRPr="00AF4AF2" w:rsidRDefault="00E128B5" w:rsidP="006F21ED">
                        <w:pPr>
                          <w:spacing w:before="120" w:after="120"/>
                          <w:ind w:right="72"/>
                          <w:jc w:val="both"/>
                          <w:rPr>
                            <w:rFonts w:ascii="Arial" w:eastAsia="Calibri" w:hAnsi="Arial" w:cs="Arial"/>
                            <w:sz w:val="20"/>
                            <w:szCs w:val="20"/>
                          </w:rPr>
                        </w:pPr>
                        <w:r w:rsidRPr="00B63086">
                          <w:rPr>
                            <w:rFonts w:ascii="Arial" w:hAnsi="Arial" w:cs="Arial"/>
                            <w:bCs/>
                            <w:sz w:val="20"/>
                            <w:szCs w:val="20"/>
                          </w:rPr>
                          <w:t>Total Pr</w:t>
                        </w:r>
                        <w:r w:rsidR="003D2728">
                          <w:rPr>
                            <w:rFonts w:ascii="Arial" w:hAnsi="Arial" w:cs="Arial"/>
                            <w:bCs/>
                            <w:sz w:val="20"/>
                            <w:szCs w:val="20"/>
                          </w:rPr>
                          <w:t>ofit Payable</w:t>
                        </w:r>
                        <w:r w:rsidRPr="00B63086">
                          <w:rPr>
                            <w:rFonts w:ascii="Arial" w:hAnsi="Arial" w:cs="Arial"/>
                            <w:sz w:val="20"/>
                            <w:szCs w:val="20"/>
                          </w:rPr>
                          <w:t xml:space="preserve"> </w:t>
                        </w:r>
                        <w:r w:rsidR="00CD32CC">
                          <w:rPr>
                            <w:rFonts w:ascii="Arial" w:hAnsi="Arial" w:cs="Arial"/>
                            <w:sz w:val="20"/>
                            <w:szCs w:val="20"/>
                          </w:rPr>
                          <w:t>x</w:t>
                        </w:r>
                        <w:r w:rsidRPr="00B63086">
                          <w:rPr>
                            <w:rFonts w:ascii="Arial" w:hAnsi="Arial" w:cs="Arial"/>
                            <w:sz w:val="20"/>
                            <w:szCs w:val="20"/>
                          </w:rPr>
                          <w:t xml:space="preserve"> </w:t>
                        </w:r>
                        <w:r w:rsidR="006F21ED">
                          <w:rPr>
                            <w:rFonts w:ascii="Arial" w:hAnsi="Arial" w:cs="Arial"/>
                            <w:sz w:val="20"/>
                            <w:szCs w:val="20"/>
                          </w:rPr>
                          <w:t>(</w:t>
                        </w:r>
                        <w:r w:rsidRPr="00B63086">
                          <w:rPr>
                            <w:rFonts w:ascii="Arial" w:hAnsi="Arial" w:cs="Arial"/>
                            <w:sz w:val="20"/>
                            <w:szCs w:val="20"/>
                          </w:rPr>
                          <w:t>IAH Individual Investment Amount / Total Investment Amount</w:t>
                        </w:r>
                        <w:r w:rsidR="006F21ED">
                          <w:rPr>
                            <w:rFonts w:ascii="Arial" w:hAnsi="Arial" w:cs="Arial"/>
                            <w:sz w:val="20"/>
                            <w:szCs w:val="20"/>
                          </w:rPr>
                          <w:t>)</w:t>
                        </w:r>
                      </w:p>
                    </w:tc>
                  </w:tr>
                  <w:tr w:rsidR="00E128B5" w:rsidRPr="00B63086" w14:paraId="4A523E5A" w14:textId="77777777" w:rsidTr="00386210">
                    <w:trPr>
                      <w:trHeight w:val="4358"/>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11CF4" w14:textId="77777777" w:rsidR="00E128B5" w:rsidRPr="00B63086" w:rsidRDefault="00E128B5" w:rsidP="00333D5B">
                        <w:pPr>
                          <w:spacing w:before="120" w:after="120"/>
                          <w:jc w:val="center"/>
                          <w:rPr>
                            <w:rFonts w:ascii="Arial" w:hAnsi="Arial" w:cs="Arial"/>
                            <w:sz w:val="20"/>
                            <w:szCs w:val="20"/>
                          </w:rPr>
                        </w:pPr>
                        <w:r w:rsidRPr="00B63086">
                          <w:rPr>
                            <w:rFonts w:ascii="Arial" w:hAnsi="Arial" w:cs="Arial"/>
                            <w:sz w:val="20"/>
                            <w:szCs w:val="20"/>
                          </w:rPr>
                          <w:t>2.</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29E0B01B" w14:textId="77777777" w:rsidR="00E128B5" w:rsidRPr="00B63086" w:rsidRDefault="00E128B5" w:rsidP="00386210">
                        <w:pPr>
                          <w:spacing w:before="120" w:after="120"/>
                          <w:rPr>
                            <w:rFonts w:ascii="Arial" w:hAnsi="Arial" w:cs="Arial"/>
                            <w:sz w:val="20"/>
                            <w:szCs w:val="20"/>
                          </w:rPr>
                        </w:pPr>
                        <w:r w:rsidRPr="00B63086">
                          <w:rPr>
                            <w:rFonts w:ascii="Arial" w:hAnsi="Arial" w:cs="Arial"/>
                            <w:sz w:val="20"/>
                            <w:szCs w:val="20"/>
                          </w:rPr>
                          <w:t>Expected Profit Rate (EPR)</w:t>
                        </w:r>
                      </w:p>
                    </w:tc>
                    <w:tc>
                      <w:tcPr>
                        <w:tcW w:w="4922" w:type="dxa"/>
                        <w:tcBorders>
                          <w:top w:val="nil"/>
                          <w:left w:val="nil"/>
                          <w:bottom w:val="single" w:sz="8" w:space="0" w:color="auto"/>
                          <w:right w:val="single" w:sz="8" w:space="0" w:color="auto"/>
                        </w:tcBorders>
                        <w:tcMar>
                          <w:top w:w="0" w:type="dxa"/>
                          <w:left w:w="108" w:type="dxa"/>
                          <w:bottom w:w="0" w:type="dxa"/>
                          <w:right w:w="108" w:type="dxa"/>
                        </w:tcMar>
                      </w:tcPr>
                      <w:p w14:paraId="2BD0D234" w14:textId="77777777" w:rsidR="00E128B5" w:rsidRPr="00B63086" w:rsidRDefault="00E128B5" w:rsidP="00386210">
                        <w:pPr>
                          <w:spacing w:before="120" w:after="120"/>
                          <w:ind w:right="95"/>
                          <w:jc w:val="both"/>
                          <w:rPr>
                            <w:rFonts w:ascii="Arial" w:hAnsi="Arial" w:cs="Arial"/>
                            <w:sz w:val="20"/>
                            <w:szCs w:val="20"/>
                          </w:rPr>
                        </w:pPr>
                        <w:r w:rsidRPr="00B63086">
                          <w:rPr>
                            <w:rFonts w:ascii="Arial" w:hAnsi="Arial" w:cs="Arial"/>
                            <w:sz w:val="20"/>
                            <w:szCs w:val="20"/>
                          </w:rPr>
                          <w:t>The Agent will pay any profit generated from the investment in the following circumstances:</w:t>
                        </w:r>
                      </w:p>
                      <w:p w14:paraId="051CD8EE" w14:textId="77777777" w:rsidR="00E128B5" w:rsidRPr="00B63086" w:rsidRDefault="00E128B5" w:rsidP="00386210">
                        <w:pPr>
                          <w:spacing w:before="120" w:after="120"/>
                          <w:ind w:left="441" w:right="95" w:hanging="441"/>
                          <w:jc w:val="both"/>
                          <w:rPr>
                            <w:rFonts w:ascii="Arial" w:hAnsi="Arial" w:cs="Arial"/>
                            <w:sz w:val="20"/>
                            <w:szCs w:val="20"/>
                          </w:rPr>
                        </w:pPr>
                        <w:r w:rsidRPr="00B63086">
                          <w:rPr>
                            <w:rFonts w:ascii="Arial" w:hAnsi="Arial" w:cs="Arial"/>
                            <w:sz w:val="20"/>
                            <w:szCs w:val="20"/>
                          </w:rPr>
                          <w:t>(a)</w:t>
                        </w:r>
                        <w:r w:rsidRPr="00B63086">
                          <w:rPr>
                            <w:rFonts w:ascii="Arial" w:hAnsi="Arial" w:cs="Arial"/>
                            <w:sz w:val="20"/>
                            <w:szCs w:val="20"/>
                          </w:rPr>
                          <w:tab/>
                          <w:t xml:space="preserve">If the Actual Profit is </w:t>
                        </w:r>
                        <w:r w:rsidRPr="004C61C3">
                          <w:rPr>
                            <w:rFonts w:ascii="Arial" w:hAnsi="Arial" w:cs="Arial"/>
                            <w:b/>
                            <w:sz w:val="20"/>
                            <w:szCs w:val="20"/>
                            <w:u w:val="single"/>
                          </w:rPr>
                          <w:t>equal to or above</w:t>
                        </w:r>
                        <w:r w:rsidRPr="00B63086">
                          <w:rPr>
                            <w:rFonts w:ascii="Arial" w:hAnsi="Arial" w:cs="Arial"/>
                            <w:sz w:val="20"/>
                            <w:szCs w:val="20"/>
                          </w:rPr>
                          <w:t xml:space="preserve"> the Expected P</w:t>
                        </w:r>
                        <w:r w:rsidR="00CD32CC">
                          <w:rPr>
                            <w:rFonts w:ascii="Arial" w:hAnsi="Arial" w:cs="Arial"/>
                            <w:sz w:val="20"/>
                            <w:szCs w:val="20"/>
                          </w:rPr>
                          <w:t>rofit Rate, the Agent will:-</w:t>
                        </w:r>
                      </w:p>
                      <w:p w14:paraId="3EBAD33D" w14:textId="77777777" w:rsidR="00E128B5" w:rsidRPr="00B63086" w:rsidRDefault="00E128B5" w:rsidP="00386210">
                        <w:pPr>
                          <w:spacing w:before="120" w:after="120"/>
                          <w:ind w:left="891" w:right="95" w:hanging="450"/>
                          <w:jc w:val="both"/>
                          <w:rPr>
                            <w:rFonts w:ascii="Arial" w:hAnsi="Arial" w:cs="Arial"/>
                            <w:sz w:val="20"/>
                            <w:szCs w:val="20"/>
                          </w:rPr>
                        </w:pPr>
                        <w:r w:rsidRPr="00B63086">
                          <w:rPr>
                            <w:rFonts w:ascii="Arial" w:hAnsi="Arial" w:cs="Arial"/>
                            <w:sz w:val="20"/>
                            <w:szCs w:val="20"/>
                          </w:rPr>
                          <w:t>(i)</w:t>
                        </w:r>
                        <w:r w:rsidRPr="00B63086">
                          <w:rPr>
                            <w:rFonts w:ascii="Arial" w:hAnsi="Arial" w:cs="Arial"/>
                            <w:sz w:val="20"/>
                            <w:szCs w:val="20"/>
                          </w:rPr>
                          <w:tab/>
                          <w:t>pay the Expected Profit Rate to the IAH</w:t>
                        </w:r>
                        <w:r w:rsidR="005F1AF5">
                          <w:rPr>
                            <w:rFonts w:ascii="Arial" w:hAnsi="Arial" w:cs="Arial"/>
                            <w:sz w:val="20"/>
                            <w:szCs w:val="20"/>
                          </w:rPr>
                          <w:t>(s)</w:t>
                        </w:r>
                        <w:r w:rsidRPr="00B63086">
                          <w:rPr>
                            <w:rFonts w:ascii="Arial" w:hAnsi="Arial" w:cs="Arial"/>
                            <w:sz w:val="20"/>
                            <w:szCs w:val="20"/>
                          </w:rPr>
                          <w:t xml:space="preserve">; and </w:t>
                        </w:r>
                      </w:p>
                      <w:p w14:paraId="2046AE84" w14:textId="77777777" w:rsidR="00E128B5" w:rsidRPr="00B63086" w:rsidRDefault="00E128B5" w:rsidP="00386210">
                        <w:pPr>
                          <w:spacing w:before="120" w:after="120"/>
                          <w:ind w:left="891" w:right="95" w:hanging="450"/>
                          <w:jc w:val="both"/>
                          <w:rPr>
                            <w:rFonts w:ascii="Arial" w:hAnsi="Arial" w:cs="Arial"/>
                            <w:sz w:val="20"/>
                            <w:szCs w:val="20"/>
                          </w:rPr>
                        </w:pPr>
                        <w:r w:rsidRPr="00B63086">
                          <w:rPr>
                            <w:rFonts w:ascii="Arial" w:hAnsi="Arial" w:cs="Arial"/>
                            <w:sz w:val="20"/>
                            <w:szCs w:val="20"/>
                          </w:rPr>
                          <w:t>(ii)</w:t>
                        </w:r>
                        <w:r w:rsidRPr="00B63086">
                          <w:rPr>
                            <w:rFonts w:ascii="Arial" w:hAnsi="Arial" w:cs="Arial"/>
                            <w:sz w:val="20"/>
                            <w:szCs w:val="20"/>
                          </w:rPr>
                          <w:tab/>
                          <w:t>any excess thereof, will be treated as performance incentive for the Agent</w:t>
                        </w:r>
                        <w:r w:rsidR="006F21ED">
                          <w:rPr>
                            <w:rFonts w:ascii="Arial" w:hAnsi="Arial" w:cs="Arial"/>
                            <w:sz w:val="20"/>
                            <w:szCs w:val="20"/>
                          </w:rPr>
                          <w:t>;</w:t>
                        </w:r>
                        <w:r w:rsidRPr="00B63086">
                          <w:rPr>
                            <w:rFonts w:ascii="Arial" w:hAnsi="Arial" w:cs="Arial"/>
                            <w:sz w:val="20"/>
                            <w:szCs w:val="20"/>
                          </w:rPr>
                          <w:t xml:space="preserve"> </w:t>
                        </w:r>
                      </w:p>
                      <w:p w14:paraId="52A1D23F" w14:textId="77777777" w:rsidR="00E128B5" w:rsidRPr="00B63086" w:rsidRDefault="00E128B5" w:rsidP="00386210">
                        <w:pPr>
                          <w:spacing w:before="120" w:after="120"/>
                          <w:ind w:left="441" w:right="95" w:hanging="441"/>
                          <w:jc w:val="both"/>
                          <w:rPr>
                            <w:rFonts w:ascii="Arial" w:hAnsi="Arial" w:cs="Arial"/>
                            <w:sz w:val="20"/>
                            <w:szCs w:val="20"/>
                          </w:rPr>
                        </w:pPr>
                        <w:r w:rsidRPr="00B63086">
                          <w:rPr>
                            <w:rFonts w:ascii="Arial" w:hAnsi="Arial" w:cs="Arial"/>
                            <w:sz w:val="20"/>
                            <w:szCs w:val="20"/>
                          </w:rPr>
                          <w:t>(b)</w:t>
                        </w:r>
                        <w:r w:rsidRPr="00B63086">
                          <w:rPr>
                            <w:rFonts w:ascii="Arial" w:hAnsi="Arial" w:cs="Arial"/>
                            <w:sz w:val="20"/>
                            <w:szCs w:val="20"/>
                          </w:rPr>
                          <w:tab/>
                          <w:t xml:space="preserve">if the Actual Profit is </w:t>
                        </w:r>
                        <w:r w:rsidRPr="004C61C3">
                          <w:rPr>
                            <w:rFonts w:ascii="Arial" w:hAnsi="Arial" w:cs="Arial"/>
                            <w:b/>
                            <w:sz w:val="20"/>
                            <w:szCs w:val="20"/>
                            <w:u w:val="single"/>
                          </w:rPr>
                          <w:t>below</w:t>
                        </w:r>
                        <w:r w:rsidRPr="00B63086">
                          <w:rPr>
                            <w:rFonts w:ascii="Arial" w:hAnsi="Arial" w:cs="Arial"/>
                            <w:sz w:val="20"/>
                            <w:szCs w:val="20"/>
                          </w:rPr>
                          <w:t xml:space="preserve"> the Expected Profit Rate, the Agent will pay the Actual Profit Rate to the IAH</w:t>
                        </w:r>
                        <w:r w:rsidR="005F1AF5">
                          <w:rPr>
                            <w:rFonts w:ascii="Arial" w:hAnsi="Arial" w:cs="Arial"/>
                            <w:sz w:val="20"/>
                            <w:szCs w:val="20"/>
                          </w:rPr>
                          <w:t>(s)</w:t>
                        </w:r>
                        <w:r w:rsidRPr="00B63086">
                          <w:rPr>
                            <w:rFonts w:ascii="Arial" w:hAnsi="Arial" w:cs="Arial"/>
                            <w:sz w:val="20"/>
                            <w:szCs w:val="20"/>
                          </w:rPr>
                          <w:t xml:space="preserve">; or </w:t>
                        </w:r>
                      </w:p>
                      <w:p w14:paraId="250BA1FD" w14:textId="77777777" w:rsidR="00E128B5" w:rsidRPr="00B63086" w:rsidRDefault="00E128B5" w:rsidP="00386210">
                        <w:pPr>
                          <w:spacing w:before="120" w:after="120"/>
                          <w:ind w:left="441" w:right="95" w:hanging="441"/>
                          <w:jc w:val="both"/>
                          <w:rPr>
                            <w:rFonts w:ascii="Arial" w:hAnsi="Arial" w:cs="Arial"/>
                            <w:sz w:val="20"/>
                            <w:szCs w:val="20"/>
                          </w:rPr>
                        </w:pPr>
                        <w:r w:rsidRPr="00B63086">
                          <w:rPr>
                            <w:rFonts w:ascii="Arial" w:hAnsi="Arial" w:cs="Arial"/>
                            <w:sz w:val="20"/>
                            <w:szCs w:val="20"/>
                          </w:rPr>
                          <w:t>(c)</w:t>
                        </w:r>
                        <w:r w:rsidRPr="00B63086">
                          <w:rPr>
                            <w:rFonts w:ascii="Arial" w:hAnsi="Arial" w:cs="Arial"/>
                            <w:sz w:val="20"/>
                            <w:szCs w:val="20"/>
                          </w:rPr>
                          <w:tab/>
                          <w:t>Any loss shall be borne solely by the IAH</w:t>
                        </w:r>
                        <w:r w:rsidR="005F1AF5">
                          <w:rPr>
                            <w:rFonts w:ascii="Arial" w:hAnsi="Arial" w:cs="Arial"/>
                            <w:sz w:val="20"/>
                            <w:szCs w:val="20"/>
                          </w:rPr>
                          <w:t>(s)</w:t>
                        </w:r>
                        <w:r w:rsidRPr="00B63086">
                          <w:rPr>
                            <w:rFonts w:ascii="Arial" w:hAnsi="Arial" w:cs="Arial"/>
                            <w:sz w:val="20"/>
                            <w:szCs w:val="20"/>
                          </w:rPr>
                          <w:t xml:space="preserve"> provided that such losses are not due to the Agent’s misconduct, negligence or breach of specified terms of the investments.  </w:t>
                        </w:r>
                      </w:p>
                    </w:tc>
                  </w:tr>
                  <w:tr w:rsidR="00E128B5" w:rsidRPr="00B63086" w14:paraId="063261CC" w14:textId="77777777" w:rsidTr="00386210">
                    <w:trPr>
                      <w:trHeight w:val="60"/>
                    </w:trPr>
                    <w:tc>
                      <w:tcPr>
                        <w:tcW w:w="6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02EDB8F" w14:textId="77777777" w:rsidR="00E128B5" w:rsidRPr="00B63086" w:rsidRDefault="00E128B5" w:rsidP="00333D5B">
                        <w:pPr>
                          <w:spacing w:before="120" w:after="120"/>
                          <w:jc w:val="center"/>
                          <w:rPr>
                            <w:rFonts w:ascii="Arial" w:hAnsi="Arial" w:cs="Arial"/>
                            <w:sz w:val="20"/>
                            <w:szCs w:val="20"/>
                          </w:rPr>
                        </w:pPr>
                        <w:r w:rsidRPr="00B63086">
                          <w:rPr>
                            <w:rFonts w:ascii="Arial" w:hAnsi="Arial" w:cs="Arial"/>
                            <w:sz w:val="20"/>
                            <w:szCs w:val="20"/>
                          </w:rPr>
                          <w:t>3.</w:t>
                        </w:r>
                      </w:p>
                    </w:tc>
                    <w:tc>
                      <w:tcPr>
                        <w:tcW w:w="128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A9E720" w14:textId="77777777" w:rsidR="00E128B5" w:rsidRPr="00B63086" w:rsidRDefault="00E128B5" w:rsidP="00386210">
                        <w:pPr>
                          <w:spacing w:before="120" w:after="120"/>
                          <w:rPr>
                            <w:rFonts w:ascii="Arial" w:hAnsi="Arial" w:cs="Arial"/>
                            <w:sz w:val="20"/>
                            <w:szCs w:val="20"/>
                          </w:rPr>
                        </w:pPr>
                        <w:r w:rsidRPr="00B63086">
                          <w:rPr>
                            <w:rFonts w:ascii="Arial" w:hAnsi="Arial" w:cs="Arial"/>
                            <w:sz w:val="20"/>
                            <w:szCs w:val="20"/>
                          </w:rPr>
                          <w:t>Profit Calculation</w:t>
                        </w:r>
                      </w:p>
                      <w:p w14:paraId="011478DE" w14:textId="77777777" w:rsidR="00E128B5" w:rsidRPr="00B63086" w:rsidRDefault="0084485C" w:rsidP="00386210">
                        <w:pPr>
                          <w:spacing w:before="120" w:after="120"/>
                          <w:rPr>
                            <w:rFonts w:ascii="Arial" w:hAnsi="Arial" w:cs="Arial"/>
                            <w:sz w:val="20"/>
                            <w:szCs w:val="20"/>
                          </w:rPr>
                        </w:pPr>
                        <w:r>
                          <w:rPr>
                            <w:rFonts w:ascii="Arial" w:hAnsi="Arial" w:cs="Arial"/>
                            <w:sz w:val="20"/>
                            <w:szCs w:val="20"/>
                          </w:rPr>
                          <w:t>(</w:t>
                        </w:r>
                        <w:r w:rsidR="00E128B5" w:rsidRPr="00B63086">
                          <w:rPr>
                            <w:rFonts w:ascii="Arial" w:hAnsi="Arial" w:cs="Arial"/>
                            <w:sz w:val="20"/>
                            <w:szCs w:val="20"/>
                          </w:rPr>
                          <w:t>Example</w:t>
                        </w:r>
                        <w:r>
                          <w:rPr>
                            <w:rFonts w:ascii="Arial" w:hAnsi="Arial" w:cs="Arial"/>
                            <w:sz w:val="20"/>
                            <w:szCs w:val="20"/>
                          </w:rPr>
                          <w:t>)</w:t>
                        </w:r>
                      </w:p>
                    </w:tc>
                    <w:tc>
                      <w:tcPr>
                        <w:tcW w:w="492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96D7FA5" w14:textId="77777777" w:rsidR="00E128B5" w:rsidRPr="00B63086" w:rsidRDefault="00E128B5" w:rsidP="00386210">
                        <w:pPr>
                          <w:spacing w:before="120" w:after="120"/>
                          <w:jc w:val="both"/>
                          <w:rPr>
                            <w:rFonts w:ascii="Arial" w:hAnsi="Arial" w:cs="Arial"/>
                            <w:sz w:val="20"/>
                            <w:szCs w:val="20"/>
                            <w:u w:val="single"/>
                          </w:rPr>
                        </w:pPr>
                        <w:r w:rsidRPr="00B63086">
                          <w:rPr>
                            <w:rFonts w:ascii="Arial" w:hAnsi="Arial" w:cs="Arial"/>
                            <w:sz w:val="20"/>
                            <w:szCs w:val="20"/>
                            <w:u w:val="single"/>
                          </w:rPr>
                          <w:t xml:space="preserve">Profit proceeds: </w:t>
                        </w:r>
                      </w:p>
                      <w:p w14:paraId="48C689C0" w14:textId="77777777" w:rsidR="00E128B5" w:rsidRPr="00B63086" w:rsidRDefault="00E128B5" w:rsidP="00386210">
                        <w:pPr>
                          <w:spacing w:before="120" w:after="120"/>
                          <w:jc w:val="both"/>
                          <w:rPr>
                            <w:rFonts w:ascii="Arial" w:hAnsi="Arial" w:cs="Arial"/>
                            <w:sz w:val="20"/>
                            <w:szCs w:val="20"/>
                          </w:rPr>
                        </w:pPr>
                        <w:r w:rsidRPr="00B63086">
                          <w:rPr>
                            <w:rFonts w:ascii="Arial" w:hAnsi="Arial" w:cs="Arial"/>
                            <w:sz w:val="20"/>
                            <w:szCs w:val="20"/>
                          </w:rPr>
                          <w:t xml:space="preserve">Principal x Profit rate x </w:t>
                        </w:r>
                        <w:r w:rsidR="006F21ED">
                          <w:rPr>
                            <w:rFonts w:ascii="Arial" w:hAnsi="Arial" w:cs="Arial"/>
                            <w:sz w:val="20"/>
                            <w:szCs w:val="20"/>
                          </w:rPr>
                          <w:t>(</w:t>
                        </w:r>
                        <w:r w:rsidR="00A45215" w:rsidRPr="00B63086">
                          <w:rPr>
                            <w:rFonts w:ascii="Arial" w:hAnsi="Arial" w:cs="Arial"/>
                            <w:sz w:val="20"/>
                            <w:szCs w:val="20"/>
                          </w:rPr>
                          <w:t>Profit Period</w:t>
                        </w:r>
                        <w:r w:rsidRPr="00B63086">
                          <w:rPr>
                            <w:rFonts w:ascii="Arial" w:hAnsi="Arial" w:cs="Arial"/>
                            <w:sz w:val="20"/>
                            <w:szCs w:val="20"/>
                          </w:rPr>
                          <w:t>/</w:t>
                        </w:r>
                        <w:r w:rsidR="00D761F3">
                          <w:rPr>
                            <w:rFonts w:ascii="Arial" w:hAnsi="Arial" w:cs="Arial"/>
                            <w:sz w:val="20"/>
                            <w:szCs w:val="20"/>
                          </w:rPr>
                          <w:t xml:space="preserve">Number of </w:t>
                        </w:r>
                        <w:r w:rsidR="002F54E5">
                          <w:rPr>
                            <w:rFonts w:ascii="Arial" w:hAnsi="Arial" w:cs="Arial"/>
                            <w:sz w:val="20"/>
                            <w:szCs w:val="20"/>
                          </w:rPr>
                          <w:t>d</w:t>
                        </w:r>
                        <w:r w:rsidR="00D761F3">
                          <w:rPr>
                            <w:rFonts w:ascii="Arial" w:hAnsi="Arial" w:cs="Arial"/>
                            <w:sz w:val="20"/>
                            <w:szCs w:val="20"/>
                          </w:rPr>
                          <w:t>ays in the year</w:t>
                        </w:r>
                        <w:r w:rsidR="006F21ED">
                          <w:rPr>
                            <w:rFonts w:ascii="Arial" w:hAnsi="Arial" w:cs="Arial"/>
                            <w:sz w:val="20"/>
                            <w:szCs w:val="20"/>
                          </w:rPr>
                          <w:t>)</w:t>
                        </w:r>
                      </w:p>
                      <w:p w14:paraId="039F618F" w14:textId="77777777" w:rsidR="00E128B5" w:rsidRPr="005F1AF5" w:rsidRDefault="00E128B5" w:rsidP="00386210">
                        <w:pPr>
                          <w:spacing w:before="120" w:after="120"/>
                          <w:jc w:val="both"/>
                          <w:rPr>
                            <w:rFonts w:ascii="Arial" w:hAnsi="Arial" w:cs="Arial"/>
                            <w:sz w:val="20"/>
                            <w:szCs w:val="20"/>
                          </w:rPr>
                        </w:pPr>
                        <w:r w:rsidRPr="005F1AF5">
                          <w:rPr>
                            <w:rFonts w:ascii="Arial" w:hAnsi="Arial" w:cs="Arial"/>
                            <w:sz w:val="20"/>
                            <w:szCs w:val="20"/>
                          </w:rPr>
                          <w:t>Where:</w:t>
                        </w:r>
                        <w:r w:rsidR="005F1AF5" w:rsidRPr="005F1AF5">
                          <w:rPr>
                            <w:rFonts w:ascii="Arial" w:hAnsi="Arial" w:cs="Arial"/>
                            <w:sz w:val="20"/>
                            <w:szCs w:val="20"/>
                          </w:rPr>
                          <w:t>-</w:t>
                        </w:r>
                      </w:p>
                      <w:p w14:paraId="146E5BCE" w14:textId="77777777" w:rsidR="00E128B5" w:rsidRDefault="00E128B5" w:rsidP="00386210">
                        <w:pPr>
                          <w:spacing w:before="120" w:after="120"/>
                          <w:jc w:val="both"/>
                          <w:rPr>
                            <w:rFonts w:ascii="Arial" w:hAnsi="Arial" w:cs="Arial"/>
                            <w:sz w:val="20"/>
                            <w:szCs w:val="20"/>
                          </w:rPr>
                        </w:pPr>
                        <w:r w:rsidRPr="00B63086">
                          <w:rPr>
                            <w:rFonts w:ascii="Arial" w:hAnsi="Arial" w:cs="Arial"/>
                            <w:sz w:val="20"/>
                            <w:szCs w:val="20"/>
                          </w:rPr>
                          <w:t xml:space="preserve">Principal =  </w:t>
                        </w:r>
                        <w:r w:rsidR="00A45215" w:rsidRPr="00B63086">
                          <w:rPr>
                            <w:rFonts w:ascii="Arial" w:hAnsi="Arial" w:cs="Arial"/>
                            <w:sz w:val="20"/>
                            <w:szCs w:val="20"/>
                          </w:rPr>
                          <w:t xml:space="preserve">Outstanding </w:t>
                        </w:r>
                        <w:r w:rsidRPr="00B63086">
                          <w:rPr>
                            <w:rFonts w:ascii="Arial" w:hAnsi="Arial" w:cs="Arial"/>
                            <w:sz w:val="20"/>
                            <w:szCs w:val="20"/>
                          </w:rPr>
                          <w:t>placement from IAH</w:t>
                        </w:r>
                      </w:p>
                      <w:p w14:paraId="68C4B1CB" w14:textId="77777777" w:rsidR="00E128B5" w:rsidRPr="00B63086" w:rsidRDefault="00A45215" w:rsidP="00386210">
                        <w:pPr>
                          <w:spacing w:before="120" w:after="120"/>
                          <w:jc w:val="both"/>
                          <w:rPr>
                            <w:rFonts w:ascii="Arial" w:hAnsi="Arial" w:cs="Arial"/>
                            <w:sz w:val="20"/>
                            <w:szCs w:val="20"/>
                          </w:rPr>
                        </w:pPr>
                        <w:r w:rsidRPr="00B63086">
                          <w:rPr>
                            <w:rFonts w:ascii="Arial" w:hAnsi="Arial" w:cs="Arial"/>
                            <w:sz w:val="20"/>
                            <w:szCs w:val="20"/>
                          </w:rPr>
                          <w:t xml:space="preserve">Profit Period </w:t>
                        </w:r>
                        <w:r w:rsidR="00E128B5" w:rsidRPr="00B63086">
                          <w:rPr>
                            <w:rFonts w:ascii="Arial" w:hAnsi="Arial" w:cs="Arial"/>
                            <w:sz w:val="20"/>
                            <w:szCs w:val="20"/>
                          </w:rPr>
                          <w:t xml:space="preserve">= Number of </w:t>
                        </w:r>
                        <w:r w:rsidR="00D761F3">
                          <w:rPr>
                            <w:rFonts w:ascii="Arial" w:hAnsi="Arial" w:cs="Arial"/>
                            <w:sz w:val="20"/>
                            <w:szCs w:val="20"/>
                          </w:rPr>
                          <w:t>days</w:t>
                        </w:r>
                        <w:r w:rsidR="00D761F3" w:rsidRPr="00B63086">
                          <w:rPr>
                            <w:rFonts w:ascii="Arial" w:hAnsi="Arial" w:cs="Arial"/>
                            <w:sz w:val="20"/>
                            <w:szCs w:val="20"/>
                          </w:rPr>
                          <w:t xml:space="preserve"> </w:t>
                        </w:r>
                        <w:r w:rsidRPr="00B63086">
                          <w:rPr>
                            <w:rFonts w:ascii="Arial" w:hAnsi="Arial" w:cs="Arial"/>
                            <w:sz w:val="20"/>
                            <w:szCs w:val="20"/>
                          </w:rPr>
                          <w:t>in the profit period</w:t>
                        </w:r>
                        <w:r w:rsidR="00E128B5" w:rsidRPr="00B63086">
                          <w:rPr>
                            <w:rFonts w:ascii="Arial" w:hAnsi="Arial" w:cs="Arial"/>
                            <w:sz w:val="20"/>
                            <w:szCs w:val="20"/>
                          </w:rPr>
                          <w:t xml:space="preserve">    </w:t>
                        </w:r>
                      </w:p>
                      <w:p w14:paraId="5CE5AF48" w14:textId="77777777" w:rsidR="00E128B5" w:rsidRPr="00B63086" w:rsidRDefault="00E128B5" w:rsidP="00386210">
                        <w:pPr>
                          <w:spacing w:before="120" w:after="120"/>
                          <w:rPr>
                            <w:rFonts w:ascii="Arial" w:hAnsi="Arial" w:cs="Arial"/>
                            <w:sz w:val="20"/>
                            <w:szCs w:val="20"/>
                          </w:rPr>
                        </w:pPr>
                        <w:r w:rsidRPr="00B63086">
                          <w:rPr>
                            <w:rFonts w:ascii="Arial" w:hAnsi="Arial" w:cs="Arial"/>
                            <w:sz w:val="20"/>
                            <w:szCs w:val="20"/>
                          </w:rPr>
                          <w:t>Example:</w:t>
                        </w:r>
                        <w:r w:rsidR="005F1AF5">
                          <w:rPr>
                            <w:rFonts w:ascii="Arial" w:hAnsi="Arial" w:cs="Arial"/>
                            <w:sz w:val="20"/>
                            <w:szCs w:val="20"/>
                          </w:rPr>
                          <w:t>-</w:t>
                        </w:r>
                      </w:p>
                      <w:tbl>
                        <w:tblPr>
                          <w:tblW w:w="4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9"/>
                          <w:gridCol w:w="2430"/>
                        </w:tblGrid>
                        <w:tr w:rsidR="00E128B5" w:rsidRPr="00B63086" w14:paraId="49FC4630" w14:textId="77777777" w:rsidTr="00333D5B">
                          <w:trPr>
                            <w:trHeight w:val="206"/>
                          </w:trPr>
                          <w:tc>
                            <w:tcPr>
                              <w:tcW w:w="2289" w:type="dxa"/>
                              <w:shd w:val="clear" w:color="auto" w:fill="D9D9D9" w:themeFill="background1" w:themeFillShade="D9"/>
                            </w:tcPr>
                            <w:p w14:paraId="728244A1" w14:textId="77777777" w:rsidR="00E128B5" w:rsidRPr="00F82518" w:rsidRDefault="004C61C3" w:rsidP="006F21ED">
                              <w:pPr>
                                <w:spacing w:before="120" w:after="120"/>
                                <w:rPr>
                                  <w:rFonts w:ascii="Arial" w:hAnsi="Arial" w:cs="Arial"/>
                                  <w:b/>
                                  <w:sz w:val="20"/>
                                  <w:szCs w:val="20"/>
                                </w:rPr>
                              </w:pPr>
                              <w:r>
                                <w:rPr>
                                  <w:rFonts w:ascii="Arial" w:hAnsi="Arial" w:cs="Arial"/>
                                  <w:b/>
                                  <w:sz w:val="20"/>
                                  <w:szCs w:val="20"/>
                                </w:rPr>
                                <w:t>Effective Date</w:t>
                              </w:r>
                              <w:r w:rsidR="00E12D73">
                                <w:rPr>
                                  <w:rFonts w:ascii="Arial" w:hAnsi="Arial" w:cs="Arial"/>
                                  <w:b/>
                                  <w:sz w:val="20"/>
                                  <w:szCs w:val="20"/>
                                </w:rPr>
                                <w:t xml:space="preserve"> of RIA</w:t>
                              </w:r>
                              <w:r w:rsidR="00E128B5" w:rsidRPr="00F82518">
                                <w:rPr>
                                  <w:rFonts w:ascii="Arial" w:hAnsi="Arial" w:cs="Arial"/>
                                  <w:b/>
                                  <w:sz w:val="20"/>
                                  <w:szCs w:val="20"/>
                                </w:rPr>
                                <w:t>:</w:t>
                              </w:r>
                              <w:r w:rsidR="005F1AF5" w:rsidRPr="00F82518">
                                <w:rPr>
                                  <w:rFonts w:ascii="Arial" w:hAnsi="Arial" w:cs="Arial"/>
                                  <w:b/>
                                  <w:sz w:val="20"/>
                                  <w:szCs w:val="20"/>
                                </w:rPr>
                                <w:t xml:space="preserve"> </w:t>
                              </w:r>
                              <w:r w:rsidR="00826B5B">
                                <w:rPr>
                                  <w:rFonts w:ascii="Arial" w:hAnsi="Arial" w:cs="Arial"/>
                                  <w:b/>
                                  <w:sz w:val="20"/>
                                  <w:szCs w:val="20"/>
                                </w:rPr>
                                <w:t>0</w:t>
                              </w:r>
                              <w:r w:rsidR="001C4818">
                                <w:rPr>
                                  <w:rFonts w:ascii="Arial" w:hAnsi="Arial" w:cs="Arial"/>
                                  <w:b/>
                                  <w:sz w:val="20"/>
                                  <w:szCs w:val="20"/>
                                </w:rPr>
                                <w:t>1/03</w:t>
                              </w:r>
                              <w:r w:rsidR="00E128B5" w:rsidRPr="00F82518">
                                <w:rPr>
                                  <w:rFonts w:ascii="Arial" w:hAnsi="Arial" w:cs="Arial"/>
                                  <w:b/>
                                  <w:sz w:val="20"/>
                                  <w:szCs w:val="20"/>
                                </w:rPr>
                                <w:t>/201</w:t>
                              </w:r>
                              <w:r w:rsidR="001C4818">
                                <w:rPr>
                                  <w:rFonts w:ascii="Arial" w:hAnsi="Arial" w:cs="Arial"/>
                                  <w:b/>
                                  <w:sz w:val="20"/>
                                  <w:szCs w:val="20"/>
                                </w:rPr>
                                <w:t>7</w:t>
                              </w:r>
                            </w:p>
                          </w:tc>
                          <w:tc>
                            <w:tcPr>
                              <w:tcW w:w="2430" w:type="dxa"/>
                              <w:shd w:val="clear" w:color="auto" w:fill="D9D9D9" w:themeFill="background1" w:themeFillShade="D9"/>
                            </w:tcPr>
                            <w:p w14:paraId="0A8FCEC6" w14:textId="77777777" w:rsidR="00E128B5" w:rsidRPr="00F82518" w:rsidRDefault="00E128B5" w:rsidP="006F21ED">
                              <w:pPr>
                                <w:spacing w:before="120" w:after="120"/>
                                <w:rPr>
                                  <w:rFonts w:ascii="Arial" w:hAnsi="Arial" w:cs="Arial"/>
                                  <w:b/>
                                  <w:sz w:val="20"/>
                                  <w:szCs w:val="20"/>
                                </w:rPr>
                              </w:pPr>
                              <w:r w:rsidRPr="00F82518">
                                <w:rPr>
                                  <w:rFonts w:ascii="Arial" w:hAnsi="Arial" w:cs="Arial"/>
                                  <w:b/>
                                  <w:sz w:val="20"/>
                                  <w:szCs w:val="20"/>
                                </w:rPr>
                                <w:t>Date of</w:t>
                              </w:r>
                              <w:r w:rsidR="00A45215" w:rsidRPr="00F82518">
                                <w:rPr>
                                  <w:rFonts w:ascii="Arial" w:hAnsi="Arial" w:cs="Arial"/>
                                  <w:b/>
                                  <w:sz w:val="20"/>
                                  <w:szCs w:val="20"/>
                                </w:rPr>
                                <w:t xml:space="preserve"> the first profit payment</w:t>
                              </w:r>
                              <w:r w:rsidRPr="00F82518">
                                <w:rPr>
                                  <w:rFonts w:ascii="Arial" w:hAnsi="Arial" w:cs="Arial"/>
                                  <w:b/>
                                  <w:sz w:val="20"/>
                                  <w:szCs w:val="20"/>
                                </w:rPr>
                                <w:t>:</w:t>
                              </w:r>
                              <w:r w:rsidR="005F1AF5" w:rsidRPr="00F82518">
                                <w:rPr>
                                  <w:rFonts w:ascii="Arial" w:hAnsi="Arial" w:cs="Arial"/>
                                  <w:b/>
                                  <w:sz w:val="20"/>
                                  <w:szCs w:val="20"/>
                                </w:rPr>
                                <w:t xml:space="preserve"> </w:t>
                              </w:r>
                              <w:r w:rsidRPr="00F82518">
                                <w:rPr>
                                  <w:rFonts w:ascii="Arial" w:hAnsi="Arial" w:cs="Arial"/>
                                  <w:b/>
                                  <w:sz w:val="20"/>
                                  <w:szCs w:val="20"/>
                                </w:rPr>
                                <w:t>0</w:t>
                              </w:r>
                              <w:r w:rsidR="001C4818">
                                <w:rPr>
                                  <w:rFonts w:ascii="Arial" w:hAnsi="Arial" w:cs="Arial"/>
                                  <w:b/>
                                  <w:sz w:val="20"/>
                                  <w:szCs w:val="20"/>
                                </w:rPr>
                                <w:t>1</w:t>
                              </w:r>
                              <w:r w:rsidRPr="00F82518">
                                <w:rPr>
                                  <w:rFonts w:ascii="Arial" w:hAnsi="Arial" w:cs="Arial"/>
                                  <w:b/>
                                  <w:sz w:val="20"/>
                                  <w:szCs w:val="20"/>
                                </w:rPr>
                                <w:t>/0</w:t>
                              </w:r>
                              <w:r w:rsidR="001C4818">
                                <w:rPr>
                                  <w:rFonts w:ascii="Arial" w:hAnsi="Arial" w:cs="Arial"/>
                                  <w:b/>
                                  <w:sz w:val="20"/>
                                  <w:szCs w:val="20"/>
                                </w:rPr>
                                <w:t>6</w:t>
                              </w:r>
                              <w:r w:rsidRPr="00F82518">
                                <w:rPr>
                                  <w:rFonts w:ascii="Arial" w:hAnsi="Arial" w:cs="Arial"/>
                                  <w:b/>
                                  <w:sz w:val="20"/>
                                  <w:szCs w:val="20"/>
                                </w:rPr>
                                <w:t>/201</w:t>
                              </w:r>
                              <w:r w:rsidR="006F21ED">
                                <w:rPr>
                                  <w:rFonts w:ascii="Arial" w:hAnsi="Arial" w:cs="Arial"/>
                                  <w:b/>
                                  <w:sz w:val="20"/>
                                  <w:szCs w:val="20"/>
                                </w:rPr>
                                <w:t>7</w:t>
                              </w:r>
                            </w:p>
                          </w:tc>
                        </w:tr>
                        <w:tr w:rsidR="00E128B5" w:rsidRPr="00B63086" w14:paraId="1951B421" w14:textId="77777777" w:rsidTr="00F82518">
                          <w:trPr>
                            <w:trHeight w:val="568"/>
                          </w:trPr>
                          <w:tc>
                            <w:tcPr>
                              <w:tcW w:w="2289" w:type="dxa"/>
                            </w:tcPr>
                            <w:p w14:paraId="6E1D8B7B" w14:textId="77777777" w:rsidR="00E128B5" w:rsidRPr="00B63086" w:rsidRDefault="00E128B5" w:rsidP="00386210">
                              <w:pPr>
                                <w:spacing w:before="120" w:after="120"/>
                                <w:rPr>
                                  <w:rFonts w:ascii="Arial" w:hAnsi="Arial" w:cs="Arial"/>
                                  <w:sz w:val="20"/>
                                  <w:szCs w:val="20"/>
                                </w:rPr>
                              </w:pPr>
                              <w:r w:rsidRPr="00B63086">
                                <w:rPr>
                                  <w:rFonts w:ascii="Arial" w:hAnsi="Arial" w:cs="Arial"/>
                                  <w:sz w:val="20"/>
                                  <w:szCs w:val="20"/>
                                </w:rPr>
                                <w:t>Investment amount:</w:t>
                              </w:r>
                              <w:r w:rsidR="005F1AF5">
                                <w:rPr>
                                  <w:rFonts w:ascii="Arial" w:hAnsi="Arial" w:cs="Arial"/>
                                  <w:sz w:val="20"/>
                                  <w:szCs w:val="20"/>
                                </w:rPr>
                                <w:t xml:space="preserve"> </w:t>
                              </w:r>
                              <w:r w:rsidRPr="00B63086">
                                <w:rPr>
                                  <w:rFonts w:ascii="Arial" w:hAnsi="Arial" w:cs="Arial"/>
                                  <w:sz w:val="20"/>
                                  <w:szCs w:val="20"/>
                                </w:rPr>
                                <w:t>RM 10,000</w:t>
                              </w:r>
                              <w:r w:rsidR="00D73E79">
                                <w:rPr>
                                  <w:rFonts w:ascii="Arial" w:hAnsi="Arial" w:cs="Arial"/>
                                  <w:sz w:val="20"/>
                                  <w:szCs w:val="20"/>
                                </w:rPr>
                                <w:t>.00</w:t>
                              </w:r>
                            </w:p>
                          </w:tc>
                          <w:tc>
                            <w:tcPr>
                              <w:tcW w:w="2430" w:type="dxa"/>
                            </w:tcPr>
                            <w:p w14:paraId="7E7CEB09" w14:textId="77777777" w:rsidR="00E128B5" w:rsidRPr="00B63086" w:rsidRDefault="00A45215" w:rsidP="00826B5B">
                              <w:pPr>
                                <w:spacing w:before="120" w:after="120"/>
                                <w:rPr>
                                  <w:rFonts w:ascii="Arial" w:hAnsi="Arial" w:cs="Arial"/>
                                  <w:sz w:val="20"/>
                                  <w:szCs w:val="20"/>
                                </w:rPr>
                              </w:pPr>
                              <w:r w:rsidRPr="00B63086">
                                <w:rPr>
                                  <w:rFonts w:ascii="Arial" w:hAnsi="Arial" w:cs="Arial"/>
                                  <w:sz w:val="20"/>
                                  <w:szCs w:val="20"/>
                                </w:rPr>
                                <w:t>Profit Period</w:t>
                              </w:r>
                              <w:r w:rsidR="00E128B5" w:rsidRPr="00B63086">
                                <w:rPr>
                                  <w:rFonts w:ascii="Arial" w:hAnsi="Arial" w:cs="Arial"/>
                                  <w:sz w:val="20"/>
                                  <w:szCs w:val="20"/>
                                </w:rPr>
                                <w:t>:</w:t>
                              </w:r>
                              <w:r w:rsidR="005F1AF5">
                                <w:rPr>
                                  <w:rFonts w:ascii="Arial" w:hAnsi="Arial" w:cs="Arial"/>
                                  <w:sz w:val="20"/>
                                  <w:szCs w:val="20"/>
                                </w:rPr>
                                <w:t xml:space="preserve"> </w:t>
                              </w:r>
                              <w:r w:rsidR="00826B5B">
                                <w:rPr>
                                  <w:rFonts w:ascii="Arial" w:hAnsi="Arial" w:cs="Arial"/>
                                  <w:sz w:val="20"/>
                                  <w:szCs w:val="20"/>
                                </w:rPr>
                                <w:t>92 days</w:t>
                              </w:r>
                            </w:p>
                          </w:tc>
                        </w:tr>
                        <w:tr w:rsidR="00E128B5" w:rsidRPr="00B63086" w14:paraId="0F859B18" w14:textId="77777777" w:rsidTr="00F82518">
                          <w:trPr>
                            <w:trHeight w:val="375"/>
                          </w:trPr>
                          <w:tc>
                            <w:tcPr>
                              <w:tcW w:w="4719" w:type="dxa"/>
                              <w:gridSpan w:val="2"/>
                            </w:tcPr>
                            <w:p w14:paraId="6E781334" w14:textId="77777777" w:rsidR="00E128B5" w:rsidRPr="00B63086" w:rsidRDefault="00E128B5" w:rsidP="006F21ED">
                              <w:pPr>
                                <w:spacing w:before="120" w:after="120"/>
                                <w:jc w:val="both"/>
                                <w:rPr>
                                  <w:rFonts w:ascii="Arial" w:hAnsi="Arial" w:cs="Arial"/>
                                  <w:sz w:val="20"/>
                                  <w:szCs w:val="20"/>
                                </w:rPr>
                              </w:pPr>
                              <w:r w:rsidRPr="00B63086">
                                <w:rPr>
                                  <w:rFonts w:ascii="Arial" w:hAnsi="Arial" w:cs="Arial"/>
                                  <w:sz w:val="20"/>
                                  <w:szCs w:val="20"/>
                                </w:rPr>
                                <w:t>Expected Profit Rate</w:t>
                              </w:r>
                              <w:r w:rsidR="00D73E79">
                                <w:rPr>
                                  <w:rFonts w:ascii="Arial" w:hAnsi="Arial" w:cs="Arial"/>
                                  <w:sz w:val="20"/>
                                  <w:szCs w:val="20"/>
                                </w:rPr>
                                <w:t xml:space="preserve"> (EPR)</w:t>
                              </w:r>
                              <w:r w:rsidRPr="00B63086">
                                <w:rPr>
                                  <w:rFonts w:ascii="Arial" w:hAnsi="Arial" w:cs="Arial"/>
                                  <w:sz w:val="20"/>
                                  <w:szCs w:val="20"/>
                                </w:rPr>
                                <w:t xml:space="preserve">: </w:t>
                              </w:r>
                              <w:r w:rsidR="006F21ED">
                                <w:rPr>
                                  <w:rFonts w:ascii="Arial" w:hAnsi="Arial" w:cs="Arial"/>
                                  <w:sz w:val="20"/>
                                  <w:szCs w:val="20"/>
                                </w:rPr>
                                <w:t>6</w:t>
                              </w:r>
                              <w:r w:rsidR="005F1AF5">
                                <w:rPr>
                                  <w:rFonts w:ascii="Arial" w:hAnsi="Arial" w:cs="Arial"/>
                                  <w:sz w:val="20"/>
                                  <w:szCs w:val="20"/>
                                </w:rPr>
                                <w:t>.</w:t>
                              </w:r>
                              <w:r w:rsidR="001C4818">
                                <w:rPr>
                                  <w:rFonts w:ascii="Arial" w:hAnsi="Arial" w:cs="Arial"/>
                                  <w:sz w:val="20"/>
                                  <w:szCs w:val="20"/>
                                </w:rPr>
                                <w:t>3</w:t>
                              </w:r>
                              <w:r w:rsidR="005F1AF5">
                                <w:rPr>
                                  <w:rFonts w:ascii="Arial" w:hAnsi="Arial" w:cs="Arial"/>
                                  <w:sz w:val="20"/>
                                  <w:szCs w:val="20"/>
                                </w:rPr>
                                <w:t>0</w:t>
                              </w:r>
                              <w:r w:rsidRPr="00B63086">
                                <w:rPr>
                                  <w:rFonts w:ascii="Arial" w:hAnsi="Arial" w:cs="Arial"/>
                                  <w:sz w:val="20"/>
                                  <w:szCs w:val="20"/>
                                </w:rPr>
                                <w:t>%</w:t>
                              </w:r>
                              <w:r w:rsidR="00A45215" w:rsidRPr="00B63086">
                                <w:rPr>
                                  <w:rFonts w:ascii="Arial" w:hAnsi="Arial" w:cs="Arial"/>
                                  <w:sz w:val="20"/>
                                  <w:szCs w:val="20"/>
                                </w:rPr>
                                <w:t xml:space="preserve"> per annum</w:t>
                              </w:r>
                            </w:p>
                          </w:tc>
                        </w:tr>
                      </w:tbl>
                      <w:p w14:paraId="139B9C19"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b/>
                            <w:sz w:val="18"/>
                            <w:szCs w:val="18"/>
                            <w:u w:val="single"/>
                          </w:rPr>
                          <w:t>Illustration 1</w:t>
                        </w:r>
                        <w:r w:rsidRPr="00062F27">
                          <w:rPr>
                            <w:rFonts w:ascii="Arial" w:hAnsi="Arial" w:cs="Arial"/>
                            <w:b/>
                            <w:sz w:val="18"/>
                            <w:szCs w:val="18"/>
                          </w:rPr>
                          <w:t xml:space="preserve"> </w:t>
                        </w:r>
                      </w:p>
                      <w:p w14:paraId="53C01D48" w14:textId="77777777" w:rsidR="00E128B5" w:rsidRPr="00062F27" w:rsidRDefault="005F1AF5" w:rsidP="00386210">
                        <w:pPr>
                          <w:spacing w:before="120" w:after="120"/>
                          <w:jc w:val="both"/>
                          <w:rPr>
                            <w:rFonts w:ascii="Arial" w:hAnsi="Arial" w:cs="Arial"/>
                            <w:sz w:val="18"/>
                            <w:szCs w:val="18"/>
                          </w:rPr>
                        </w:pPr>
                        <w:r>
                          <w:rPr>
                            <w:rFonts w:ascii="Arial" w:hAnsi="Arial" w:cs="Arial"/>
                            <w:sz w:val="18"/>
                            <w:szCs w:val="18"/>
                          </w:rPr>
                          <w:t>A</w:t>
                        </w:r>
                        <w:r w:rsidR="00E128B5" w:rsidRPr="00062F27">
                          <w:rPr>
                            <w:rFonts w:ascii="Arial" w:hAnsi="Arial" w:cs="Arial"/>
                            <w:sz w:val="18"/>
                            <w:szCs w:val="18"/>
                          </w:rPr>
                          <w:t xml:space="preserve">ctual Return </w:t>
                        </w:r>
                        <w:r w:rsidR="00E128B5" w:rsidRPr="00062F27">
                          <w:rPr>
                            <w:rFonts w:ascii="Arial" w:hAnsi="Arial" w:cs="Arial"/>
                            <w:b/>
                            <w:sz w:val="18"/>
                            <w:szCs w:val="18"/>
                            <w:u w:val="single"/>
                          </w:rPr>
                          <w:t>higher</w:t>
                        </w:r>
                        <w:r w:rsidR="00E128B5" w:rsidRPr="00062F27">
                          <w:rPr>
                            <w:rFonts w:ascii="Arial" w:hAnsi="Arial" w:cs="Arial"/>
                            <w:sz w:val="18"/>
                            <w:szCs w:val="18"/>
                          </w:rPr>
                          <w:t xml:space="preserve"> than EPR: </w:t>
                        </w:r>
                        <w:r w:rsidR="006F21ED">
                          <w:rPr>
                            <w:rFonts w:ascii="Arial" w:hAnsi="Arial" w:cs="Arial"/>
                            <w:sz w:val="18"/>
                            <w:szCs w:val="18"/>
                          </w:rPr>
                          <w:t>7</w:t>
                        </w:r>
                        <w:r w:rsidR="00D73E79">
                          <w:rPr>
                            <w:rFonts w:ascii="Arial" w:hAnsi="Arial" w:cs="Arial"/>
                            <w:sz w:val="18"/>
                            <w:szCs w:val="18"/>
                          </w:rPr>
                          <w:t>.</w:t>
                        </w:r>
                        <w:r w:rsidR="006F21ED">
                          <w:rPr>
                            <w:rFonts w:ascii="Arial" w:hAnsi="Arial" w:cs="Arial"/>
                            <w:sz w:val="18"/>
                            <w:szCs w:val="18"/>
                          </w:rPr>
                          <w:t>0</w:t>
                        </w:r>
                        <w:r w:rsidR="00D73E79">
                          <w:rPr>
                            <w:rFonts w:ascii="Arial" w:hAnsi="Arial" w:cs="Arial"/>
                            <w:sz w:val="18"/>
                            <w:szCs w:val="18"/>
                          </w:rPr>
                          <w:t>0</w:t>
                        </w:r>
                        <w:r w:rsidR="00E128B5" w:rsidRPr="00062F27">
                          <w:rPr>
                            <w:rFonts w:ascii="Arial" w:hAnsi="Arial" w:cs="Arial"/>
                            <w:sz w:val="18"/>
                            <w:szCs w:val="18"/>
                          </w:rPr>
                          <w:t>%</w:t>
                        </w:r>
                        <w:r w:rsidR="00A45215" w:rsidRPr="00062F27">
                          <w:rPr>
                            <w:rFonts w:ascii="Arial" w:hAnsi="Arial" w:cs="Arial"/>
                            <w:sz w:val="18"/>
                            <w:szCs w:val="18"/>
                          </w:rPr>
                          <w:t xml:space="preserve"> per annum</w:t>
                        </w:r>
                      </w:p>
                      <w:p w14:paraId="0C3047D3"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sz w:val="18"/>
                            <w:szCs w:val="18"/>
                          </w:rPr>
                          <w:t>Profit proceeds: RM10,000</w:t>
                        </w:r>
                        <w:r w:rsidR="00D73E79">
                          <w:rPr>
                            <w:rFonts w:ascii="Arial" w:hAnsi="Arial" w:cs="Arial"/>
                            <w:sz w:val="18"/>
                            <w:szCs w:val="18"/>
                          </w:rPr>
                          <w:t>.00</w:t>
                        </w:r>
                        <w:r w:rsidRPr="00062F27">
                          <w:rPr>
                            <w:rFonts w:ascii="Arial" w:hAnsi="Arial" w:cs="Arial"/>
                            <w:sz w:val="18"/>
                            <w:szCs w:val="18"/>
                          </w:rPr>
                          <w:t xml:space="preserve"> x </w:t>
                        </w:r>
                        <w:r w:rsidR="006F21ED">
                          <w:rPr>
                            <w:rFonts w:ascii="Arial" w:hAnsi="Arial" w:cs="Arial"/>
                            <w:sz w:val="18"/>
                            <w:szCs w:val="18"/>
                          </w:rPr>
                          <w:t>7</w:t>
                        </w:r>
                        <w:r w:rsidR="00D73E79">
                          <w:rPr>
                            <w:rFonts w:ascii="Arial" w:hAnsi="Arial" w:cs="Arial"/>
                            <w:sz w:val="18"/>
                            <w:szCs w:val="18"/>
                          </w:rPr>
                          <w:t>.</w:t>
                        </w:r>
                        <w:r w:rsidR="006F21ED">
                          <w:rPr>
                            <w:rFonts w:ascii="Arial" w:hAnsi="Arial" w:cs="Arial"/>
                            <w:sz w:val="18"/>
                            <w:szCs w:val="18"/>
                          </w:rPr>
                          <w:t>0</w:t>
                        </w:r>
                        <w:r w:rsidR="00D73E79">
                          <w:rPr>
                            <w:rFonts w:ascii="Arial" w:hAnsi="Arial" w:cs="Arial"/>
                            <w:sz w:val="18"/>
                            <w:szCs w:val="18"/>
                          </w:rPr>
                          <w:t>0</w:t>
                        </w:r>
                        <w:r w:rsidRPr="00062F27">
                          <w:rPr>
                            <w:rFonts w:ascii="Arial" w:hAnsi="Arial" w:cs="Arial"/>
                            <w:sz w:val="18"/>
                            <w:szCs w:val="18"/>
                          </w:rPr>
                          <w:t xml:space="preserve">% </w:t>
                        </w:r>
                        <w:r w:rsidR="00A45215" w:rsidRPr="00062F27">
                          <w:rPr>
                            <w:rFonts w:ascii="Arial" w:hAnsi="Arial" w:cs="Arial"/>
                            <w:sz w:val="18"/>
                            <w:szCs w:val="18"/>
                          </w:rPr>
                          <w:t xml:space="preserve">per annum </w:t>
                        </w:r>
                        <w:r w:rsidRPr="00062F27">
                          <w:rPr>
                            <w:rFonts w:ascii="Arial" w:hAnsi="Arial" w:cs="Arial"/>
                            <w:sz w:val="18"/>
                            <w:szCs w:val="18"/>
                          </w:rPr>
                          <w:t xml:space="preserve">x </w:t>
                        </w:r>
                        <w:r w:rsidR="006F21ED">
                          <w:rPr>
                            <w:rFonts w:ascii="Arial" w:hAnsi="Arial" w:cs="Arial"/>
                            <w:sz w:val="18"/>
                            <w:szCs w:val="18"/>
                          </w:rPr>
                          <w:t>(</w:t>
                        </w:r>
                        <w:r w:rsidR="00826B5B">
                          <w:rPr>
                            <w:rFonts w:ascii="Arial" w:hAnsi="Arial" w:cs="Arial"/>
                            <w:sz w:val="18"/>
                            <w:szCs w:val="18"/>
                          </w:rPr>
                          <w:t>91 days</w:t>
                        </w:r>
                        <w:r w:rsidR="00A45215" w:rsidRPr="00062F27">
                          <w:rPr>
                            <w:rFonts w:ascii="Arial" w:hAnsi="Arial" w:cs="Arial"/>
                            <w:sz w:val="18"/>
                            <w:szCs w:val="18"/>
                          </w:rPr>
                          <w:t xml:space="preserve"> </w:t>
                        </w:r>
                        <w:r w:rsidRPr="00062F27">
                          <w:rPr>
                            <w:rFonts w:ascii="Arial" w:hAnsi="Arial" w:cs="Arial"/>
                            <w:sz w:val="18"/>
                            <w:szCs w:val="18"/>
                          </w:rPr>
                          <w:t>/</w:t>
                        </w:r>
                        <w:r w:rsidR="00826B5B">
                          <w:rPr>
                            <w:rFonts w:ascii="Arial" w:hAnsi="Arial" w:cs="Arial"/>
                            <w:sz w:val="18"/>
                            <w:szCs w:val="18"/>
                          </w:rPr>
                          <w:t>365 days</w:t>
                        </w:r>
                        <w:r w:rsidR="00383AF2">
                          <w:rPr>
                            <w:rFonts w:ascii="Arial" w:hAnsi="Arial" w:cs="Arial"/>
                            <w:sz w:val="18"/>
                            <w:szCs w:val="18"/>
                          </w:rPr>
                          <w:t>) = RM17</w:t>
                        </w:r>
                        <w:r w:rsidR="00826B5B">
                          <w:rPr>
                            <w:rFonts w:ascii="Arial" w:hAnsi="Arial" w:cs="Arial"/>
                            <w:sz w:val="18"/>
                            <w:szCs w:val="18"/>
                          </w:rPr>
                          <w:t>4</w:t>
                        </w:r>
                        <w:r w:rsidR="00383AF2">
                          <w:rPr>
                            <w:rFonts w:ascii="Arial" w:hAnsi="Arial" w:cs="Arial"/>
                            <w:sz w:val="18"/>
                            <w:szCs w:val="18"/>
                          </w:rPr>
                          <w:t>.</w:t>
                        </w:r>
                        <w:r w:rsidR="00826B5B">
                          <w:rPr>
                            <w:rFonts w:ascii="Arial" w:hAnsi="Arial" w:cs="Arial"/>
                            <w:sz w:val="18"/>
                            <w:szCs w:val="18"/>
                          </w:rPr>
                          <w:t>52</w:t>
                        </w:r>
                      </w:p>
                      <w:p w14:paraId="33401603"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sz w:val="18"/>
                            <w:szCs w:val="18"/>
                          </w:rPr>
                          <w:t xml:space="preserve">Total Profit to IAH </w:t>
                        </w:r>
                        <w:r w:rsidR="00D73E79">
                          <w:rPr>
                            <w:rFonts w:ascii="Arial" w:hAnsi="Arial" w:cs="Arial"/>
                            <w:sz w:val="18"/>
                            <w:szCs w:val="18"/>
                          </w:rPr>
                          <w:t xml:space="preserve">in the Profit Period </w:t>
                        </w:r>
                        <w:r w:rsidRPr="00062F27">
                          <w:rPr>
                            <w:rFonts w:ascii="Arial" w:hAnsi="Arial" w:cs="Arial"/>
                            <w:sz w:val="18"/>
                            <w:szCs w:val="18"/>
                          </w:rPr>
                          <w:t>= RM</w:t>
                        </w:r>
                        <w:r w:rsidR="00383AF2">
                          <w:rPr>
                            <w:rFonts w:ascii="Arial" w:hAnsi="Arial" w:cs="Arial"/>
                            <w:sz w:val="18"/>
                            <w:szCs w:val="18"/>
                          </w:rPr>
                          <w:t>1</w:t>
                        </w:r>
                        <w:r w:rsidR="00D73E79">
                          <w:rPr>
                            <w:rFonts w:ascii="Arial" w:hAnsi="Arial" w:cs="Arial"/>
                            <w:sz w:val="18"/>
                            <w:szCs w:val="18"/>
                          </w:rPr>
                          <w:t>5</w:t>
                        </w:r>
                        <w:r w:rsidR="00383AF2">
                          <w:rPr>
                            <w:rFonts w:ascii="Arial" w:hAnsi="Arial" w:cs="Arial"/>
                            <w:sz w:val="18"/>
                            <w:szCs w:val="18"/>
                          </w:rPr>
                          <w:t>7.</w:t>
                        </w:r>
                        <w:r w:rsidR="006F21ED">
                          <w:rPr>
                            <w:rFonts w:ascii="Arial" w:hAnsi="Arial" w:cs="Arial"/>
                            <w:sz w:val="18"/>
                            <w:szCs w:val="18"/>
                          </w:rPr>
                          <w:t>0</w:t>
                        </w:r>
                        <w:r w:rsidR="00826B5B">
                          <w:rPr>
                            <w:rFonts w:ascii="Arial" w:hAnsi="Arial" w:cs="Arial"/>
                            <w:sz w:val="18"/>
                            <w:szCs w:val="18"/>
                          </w:rPr>
                          <w:t>7</w:t>
                        </w:r>
                        <w:r w:rsidRPr="00062F27">
                          <w:rPr>
                            <w:rFonts w:ascii="Arial" w:hAnsi="Arial" w:cs="Arial"/>
                            <w:sz w:val="18"/>
                            <w:szCs w:val="18"/>
                          </w:rPr>
                          <w:t xml:space="preserve"> (EPR </w:t>
                        </w:r>
                        <w:r w:rsidR="00383AF2">
                          <w:rPr>
                            <w:rFonts w:ascii="Arial" w:hAnsi="Arial" w:cs="Arial"/>
                            <w:sz w:val="18"/>
                            <w:szCs w:val="18"/>
                          </w:rPr>
                          <w:t>6.3</w:t>
                        </w:r>
                        <w:r w:rsidR="00D73E79">
                          <w:rPr>
                            <w:rFonts w:ascii="Arial" w:hAnsi="Arial" w:cs="Arial"/>
                            <w:sz w:val="18"/>
                            <w:szCs w:val="18"/>
                          </w:rPr>
                          <w:t>0</w:t>
                        </w:r>
                        <w:r w:rsidRPr="00062F27">
                          <w:rPr>
                            <w:rFonts w:ascii="Arial" w:hAnsi="Arial" w:cs="Arial"/>
                            <w:sz w:val="18"/>
                            <w:szCs w:val="18"/>
                          </w:rPr>
                          <w:t>%</w:t>
                        </w:r>
                        <w:r w:rsidR="00A45215" w:rsidRPr="00062F27">
                          <w:rPr>
                            <w:rFonts w:ascii="Arial" w:hAnsi="Arial" w:cs="Arial"/>
                            <w:sz w:val="18"/>
                            <w:szCs w:val="18"/>
                          </w:rPr>
                          <w:t xml:space="preserve"> per annum</w:t>
                        </w:r>
                        <w:r w:rsidRPr="00062F27">
                          <w:rPr>
                            <w:rFonts w:ascii="Arial" w:hAnsi="Arial" w:cs="Arial"/>
                            <w:sz w:val="18"/>
                            <w:szCs w:val="18"/>
                          </w:rPr>
                          <w:t>)</w:t>
                        </w:r>
                      </w:p>
                      <w:p w14:paraId="3C9938F2"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sz w:val="18"/>
                            <w:szCs w:val="18"/>
                          </w:rPr>
                          <w:t xml:space="preserve">Performance Incentive to Bank </w:t>
                        </w:r>
                        <w:r w:rsidR="00D73E79">
                          <w:rPr>
                            <w:rFonts w:ascii="Arial" w:hAnsi="Arial" w:cs="Arial"/>
                            <w:sz w:val="18"/>
                            <w:szCs w:val="18"/>
                          </w:rPr>
                          <w:t xml:space="preserve">in the Profit Period </w:t>
                        </w:r>
                        <w:r w:rsidRPr="00062F27">
                          <w:rPr>
                            <w:rFonts w:ascii="Arial" w:hAnsi="Arial" w:cs="Arial"/>
                            <w:sz w:val="18"/>
                            <w:szCs w:val="18"/>
                          </w:rPr>
                          <w:t>= RM</w:t>
                        </w:r>
                        <w:r w:rsidR="00AE2F6A">
                          <w:rPr>
                            <w:rFonts w:ascii="Arial" w:hAnsi="Arial" w:cs="Arial"/>
                            <w:sz w:val="18"/>
                            <w:szCs w:val="18"/>
                          </w:rPr>
                          <w:t>17.</w:t>
                        </w:r>
                        <w:r w:rsidR="00826B5B">
                          <w:rPr>
                            <w:rFonts w:ascii="Arial" w:hAnsi="Arial" w:cs="Arial"/>
                            <w:sz w:val="18"/>
                            <w:szCs w:val="18"/>
                          </w:rPr>
                          <w:t>4</w:t>
                        </w:r>
                        <w:r w:rsidR="00AE2F6A">
                          <w:rPr>
                            <w:rFonts w:ascii="Arial" w:hAnsi="Arial" w:cs="Arial"/>
                            <w:sz w:val="18"/>
                            <w:szCs w:val="18"/>
                          </w:rPr>
                          <w:t>5</w:t>
                        </w:r>
                        <w:r w:rsidRPr="00062F27">
                          <w:rPr>
                            <w:rFonts w:ascii="Arial" w:hAnsi="Arial" w:cs="Arial"/>
                            <w:sz w:val="18"/>
                            <w:szCs w:val="18"/>
                          </w:rPr>
                          <w:t xml:space="preserve"> (</w:t>
                        </w:r>
                        <w:r w:rsidR="006F21ED">
                          <w:rPr>
                            <w:rFonts w:ascii="Arial" w:hAnsi="Arial" w:cs="Arial"/>
                            <w:sz w:val="18"/>
                            <w:szCs w:val="18"/>
                          </w:rPr>
                          <w:t>0</w:t>
                        </w:r>
                        <w:r w:rsidR="00D73E79">
                          <w:rPr>
                            <w:rFonts w:ascii="Arial" w:hAnsi="Arial" w:cs="Arial"/>
                            <w:sz w:val="18"/>
                            <w:szCs w:val="18"/>
                          </w:rPr>
                          <w:t>.</w:t>
                        </w:r>
                        <w:r w:rsidR="00AE2F6A">
                          <w:rPr>
                            <w:rFonts w:ascii="Arial" w:hAnsi="Arial" w:cs="Arial"/>
                            <w:sz w:val="18"/>
                            <w:szCs w:val="18"/>
                          </w:rPr>
                          <w:t>7</w:t>
                        </w:r>
                        <w:r w:rsidRPr="00062F27">
                          <w:rPr>
                            <w:rFonts w:ascii="Arial" w:hAnsi="Arial" w:cs="Arial"/>
                            <w:sz w:val="18"/>
                            <w:szCs w:val="18"/>
                          </w:rPr>
                          <w:t>%</w:t>
                        </w:r>
                        <w:r w:rsidR="00A45215" w:rsidRPr="00062F27">
                          <w:rPr>
                            <w:rFonts w:ascii="Arial" w:hAnsi="Arial" w:cs="Arial"/>
                            <w:sz w:val="18"/>
                            <w:szCs w:val="18"/>
                          </w:rPr>
                          <w:t xml:space="preserve"> per annum</w:t>
                        </w:r>
                        <w:r w:rsidRPr="00062F27">
                          <w:rPr>
                            <w:rFonts w:ascii="Arial" w:hAnsi="Arial" w:cs="Arial"/>
                            <w:sz w:val="18"/>
                            <w:szCs w:val="18"/>
                          </w:rPr>
                          <w:t>)</w:t>
                        </w:r>
                      </w:p>
                      <w:p w14:paraId="5D2A7D2B"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b/>
                            <w:sz w:val="18"/>
                            <w:szCs w:val="18"/>
                            <w:u w:val="single"/>
                          </w:rPr>
                          <w:t>Illustration 2</w:t>
                        </w:r>
                        <w:r w:rsidRPr="00062F27">
                          <w:rPr>
                            <w:rFonts w:ascii="Arial" w:hAnsi="Arial" w:cs="Arial"/>
                            <w:b/>
                            <w:sz w:val="18"/>
                            <w:szCs w:val="18"/>
                          </w:rPr>
                          <w:t xml:space="preserve"> </w:t>
                        </w:r>
                        <w:r w:rsidRPr="00062F27">
                          <w:rPr>
                            <w:rFonts w:ascii="Arial" w:hAnsi="Arial" w:cs="Arial"/>
                            <w:sz w:val="18"/>
                            <w:szCs w:val="18"/>
                          </w:rPr>
                          <w:t xml:space="preserve">- </w:t>
                        </w:r>
                      </w:p>
                      <w:p w14:paraId="4210D1FB"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sz w:val="18"/>
                            <w:szCs w:val="18"/>
                          </w:rPr>
                          <w:t xml:space="preserve">Actual Return </w:t>
                        </w:r>
                        <w:r w:rsidRPr="00062F27">
                          <w:rPr>
                            <w:rFonts w:ascii="Arial" w:hAnsi="Arial" w:cs="Arial"/>
                            <w:b/>
                            <w:sz w:val="18"/>
                            <w:szCs w:val="18"/>
                            <w:u w:val="single"/>
                          </w:rPr>
                          <w:t>lower</w:t>
                        </w:r>
                        <w:r w:rsidRPr="00062F27">
                          <w:rPr>
                            <w:rFonts w:ascii="Arial" w:hAnsi="Arial" w:cs="Arial"/>
                            <w:sz w:val="18"/>
                            <w:szCs w:val="18"/>
                          </w:rPr>
                          <w:t xml:space="preserve"> than EPR: </w:t>
                        </w:r>
                        <w:r w:rsidR="00D73E79">
                          <w:rPr>
                            <w:rFonts w:ascii="Arial" w:hAnsi="Arial" w:cs="Arial"/>
                            <w:sz w:val="18"/>
                            <w:szCs w:val="18"/>
                          </w:rPr>
                          <w:t>6.0</w:t>
                        </w:r>
                        <w:r w:rsidRPr="00062F27">
                          <w:rPr>
                            <w:rFonts w:ascii="Arial" w:hAnsi="Arial" w:cs="Arial"/>
                            <w:sz w:val="18"/>
                            <w:szCs w:val="18"/>
                          </w:rPr>
                          <w:t>%</w:t>
                        </w:r>
                        <w:r w:rsidR="00B63086" w:rsidRPr="00062F27">
                          <w:rPr>
                            <w:rFonts w:ascii="Arial" w:hAnsi="Arial" w:cs="Arial"/>
                            <w:sz w:val="18"/>
                            <w:szCs w:val="18"/>
                          </w:rPr>
                          <w:t xml:space="preserve"> per annum</w:t>
                        </w:r>
                      </w:p>
                      <w:p w14:paraId="1A547196" w14:textId="77777777" w:rsidR="00E128B5" w:rsidRPr="00062F27" w:rsidRDefault="00E128B5" w:rsidP="00386210">
                        <w:pPr>
                          <w:spacing w:before="120" w:after="120"/>
                          <w:jc w:val="both"/>
                          <w:rPr>
                            <w:rFonts w:ascii="Arial" w:hAnsi="Arial" w:cs="Arial"/>
                            <w:sz w:val="18"/>
                            <w:szCs w:val="18"/>
                          </w:rPr>
                        </w:pPr>
                        <w:r w:rsidRPr="00062F27">
                          <w:rPr>
                            <w:rFonts w:ascii="Arial" w:hAnsi="Arial" w:cs="Arial"/>
                            <w:sz w:val="18"/>
                            <w:szCs w:val="18"/>
                          </w:rPr>
                          <w:t>Profit proceeds: RM10,000</w:t>
                        </w:r>
                        <w:r w:rsidR="00D73E79">
                          <w:rPr>
                            <w:rFonts w:ascii="Arial" w:hAnsi="Arial" w:cs="Arial"/>
                            <w:sz w:val="18"/>
                            <w:szCs w:val="18"/>
                          </w:rPr>
                          <w:t>.00</w:t>
                        </w:r>
                        <w:r w:rsidRPr="00062F27">
                          <w:rPr>
                            <w:rFonts w:ascii="Arial" w:hAnsi="Arial" w:cs="Arial"/>
                            <w:sz w:val="18"/>
                            <w:szCs w:val="18"/>
                          </w:rPr>
                          <w:t xml:space="preserve"> x </w:t>
                        </w:r>
                        <w:r w:rsidR="00D73E79">
                          <w:rPr>
                            <w:rFonts w:ascii="Arial" w:hAnsi="Arial" w:cs="Arial"/>
                            <w:sz w:val="18"/>
                            <w:szCs w:val="18"/>
                          </w:rPr>
                          <w:t>6.0</w:t>
                        </w:r>
                        <w:r w:rsidRPr="00062F27">
                          <w:rPr>
                            <w:rFonts w:ascii="Arial" w:hAnsi="Arial" w:cs="Arial"/>
                            <w:sz w:val="18"/>
                            <w:szCs w:val="18"/>
                          </w:rPr>
                          <w:t xml:space="preserve">% </w:t>
                        </w:r>
                        <w:r w:rsidR="00B63086" w:rsidRPr="00062F27">
                          <w:rPr>
                            <w:rFonts w:ascii="Arial" w:hAnsi="Arial" w:cs="Arial"/>
                            <w:sz w:val="18"/>
                            <w:szCs w:val="18"/>
                          </w:rPr>
                          <w:t xml:space="preserve">per annum </w:t>
                        </w:r>
                        <w:r w:rsidRPr="00062F27">
                          <w:rPr>
                            <w:rFonts w:ascii="Arial" w:hAnsi="Arial" w:cs="Arial"/>
                            <w:sz w:val="18"/>
                            <w:szCs w:val="18"/>
                          </w:rPr>
                          <w:t xml:space="preserve">x </w:t>
                        </w:r>
                        <w:r w:rsidR="006F21ED">
                          <w:rPr>
                            <w:rFonts w:ascii="Arial" w:hAnsi="Arial" w:cs="Arial"/>
                            <w:sz w:val="18"/>
                            <w:szCs w:val="18"/>
                          </w:rPr>
                          <w:t>(</w:t>
                        </w:r>
                        <w:r w:rsidR="00826B5B">
                          <w:rPr>
                            <w:rFonts w:ascii="Arial" w:hAnsi="Arial" w:cs="Arial"/>
                            <w:sz w:val="18"/>
                            <w:szCs w:val="18"/>
                          </w:rPr>
                          <w:t>91 days</w:t>
                        </w:r>
                        <w:r w:rsidR="00B63086" w:rsidRPr="00062F27">
                          <w:rPr>
                            <w:rFonts w:ascii="Arial" w:hAnsi="Arial" w:cs="Arial"/>
                            <w:sz w:val="18"/>
                            <w:szCs w:val="18"/>
                          </w:rPr>
                          <w:t xml:space="preserve"> </w:t>
                        </w:r>
                        <w:r w:rsidRPr="00062F27">
                          <w:rPr>
                            <w:rFonts w:ascii="Arial" w:hAnsi="Arial" w:cs="Arial"/>
                            <w:sz w:val="18"/>
                            <w:szCs w:val="18"/>
                          </w:rPr>
                          <w:t>/</w:t>
                        </w:r>
                        <w:r w:rsidR="00826B5B">
                          <w:rPr>
                            <w:rFonts w:ascii="Arial" w:hAnsi="Arial" w:cs="Arial"/>
                            <w:sz w:val="18"/>
                            <w:szCs w:val="18"/>
                          </w:rPr>
                          <w:t>365 days</w:t>
                        </w:r>
                        <w:r w:rsidR="00D73E79">
                          <w:rPr>
                            <w:rFonts w:ascii="Arial" w:hAnsi="Arial" w:cs="Arial"/>
                            <w:sz w:val="18"/>
                            <w:szCs w:val="18"/>
                          </w:rPr>
                          <w:t>)</w:t>
                        </w:r>
                        <w:r w:rsidR="006F21ED">
                          <w:rPr>
                            <w:rFonts w:ascii="Arial" w:hAnsi="Arial" w:cs="Arial"/>
                            <w:sz w:val="18"/>
                            <w:szCs w:val="18"/>
                          </w:rPr>
                          <w:t xml:space="preserve"> = RM</w:t>
                        </w:r>
                        <w:r w:rsidR="00AE2F6A">
                          <w:rPr>
                            <w:rFonts w:ascii="Arial" w:hAnsi="Arial" w:cs="Arial"/>
                            <w:sz w:val="18"/>
                            <w:szCs w:val="18"/>
                          </w:rPr>
                          <w:t>1</w:t>
                        </w:r>
                        <w:r w:rsidR="00826B5B">
                          <w:rPr>
                            <w:rFonts w:ascii="Arial" w:hAnsi="Arial" w:cs="Arial"/>
                            <w:sz w:val="18"/>
                            <w:szCs w:val="18"/>
                          </w:rPr>
                          <w:t>49</w:t>
                        </w:r>
                        <w:r w:rsidR="006F21ED">
                          <w:rPr>
                            <w:rFonts w:ascii="Arial" w:hAnsi="Arial" w:cs="Arial"/>
                            <w:sz w:val="18"/>
                            <w:szCs w:val="18"/>
                          </w:rPr>
                          <w:t>.</w:t>
                        </w:r>
                        <w:r w:rsidR="00826B5B">
                          <w:rPr>
                            <w:rFonts w:ascii="Arial" w:hAnsi="Arial" w:cs="Arial"/>
                            <w:sz w:val="18"/>
                            <w:szCs w:val="18"/>
                          </w:rPr>
                          <w:t>59</w:t>
                        </w:r>
                      </w:p>
                      <w:p w14:paraId="34965472" w14:textId="77777777" w:rsidR="007C427B" w:rsidRPr="00D73E79" w:rsidRDefault="00E128B5" w:rsidP="00826B5B">
                        <w:pPr>
                          <w:spacing w:before="120" w:after="120"/>
                          <w:jc w:val="both"/>
                          <w:rPr>
                            <w:rFonts w:ascii="Arial" w:hAnsi="Arial" w:cs="Arial"/>
                            <w:sz w:val="18"/>
                            <w:szCs w:val="18"/>
                          </w:rPr>
                        </w:pPr>
                        <w:r w:rsidRPr="00062F27">
                          <w:rPr>
                            <w:rFonts w:ascii="Arial" w:hAnsi="Arial" w:cs="Arial"/>
                            <w:sz w:val="18"/>
                            <w:szCs w:val="18"/>
                          </w:rPr>
                          <w:t xml:space="preserve">Total Profit to IAH </w:t>
                        </w:r>
                        <w:r w:rsidR="00D73E79">
                          <w:rPr>
                            <w:rFonts w:ascii="Arial" w:hAnsi="Arial" w:cs="Arial"/>
                            <w:sz w:val="18"/>
                            <w:szCs w:val="18"/>
                          </w:rPr>
                          <w:t xml:space="preserve">in the Profit Period </w:t>
                        </w:r>
                        <w:r w:rsidRPr="00062F27">
                          <w:rPr>
                            <w:rFonts w:ascii="Arial" w:hAnsi="Arial" w:cs="Arial"/>
                            <w:sz w:val="18"/>
                            <w:szCs w:val="18"/>
                          </w:rPr>
                          <w:t>= RM</w:t>
                        </w:r>
                        <w:r w:rsidR="00AE2F6A">
                          <w:rPr>
                            <w:rFonts w:ascii="Arial" w:hAnsi="Arial" w:cs="Arial"/>
                            <w:sz w:val="18"/>
                            <w:szCs w:val="18"/>
                          </w:rPr>
                          <w:t>1</w:t>
                        </w:r>
                        <w:r w:rsidR="00826B5B">
                          <w:rPr>
                            <w:rFonts w:ascii="Arial" w:hAnsi="Arial" w:cs="Arial"/>
                            <w:sz w:val="18"/>
                            <w:szCs w:val="18"/>
                          </w:rPr>
                          <w:t>49</w:t>
                        </w:r>
                        <w:r w:rsidR="00D73E79">
                          <w:rPr>
                            <w:rFonts w:ascii="Arial" w:hAnsi="Arial" w:cs="Arial"/>
                            <w:sz w:val="18"/>
                            <w:szCs w:val="18"/>
                          </w:rPr>
                          <w:t>.</w:t>
                        </w:r>
                        <w:r w:rsidR="00826B5B">
                          <w:rPr>
                            <w:rFonts w:ascii="Arial" w:hAnsi="Arial" w:cs="Arial"/>
                            <w:sz w:val="18"/>
                            <w:szCs w:val="18"/>
                          </w:rPr>
                          <w:t>59</w:t>
                        </w:r>
                        <w:r w:rsidRPr="00062F27">
                          <w:rPr>
                            <w:rFonts w:ascii="Arial" w:hAnsi="Arial" w:cs="Arial"/>
                            <w:sz w:val="18"/>
                            <w:szCs w:val="18"/>
                          </w:rPr>
                          <w:t xml:space="preserve"> (Actual </w:t>
                        </w:r>
                        <w:r w:rsidR="00EB588D">
                          <w:rPr>
                            <w:rFonts w:ascii="Arial" w:hAnsi="Arial" w:cs="Arial"/>
                            <w:sz w:val="18"/>
                            <w:szCs w:val="18"/>
                          </w:rPr>
                          <w:t>6</w:t>
                        </w:r>
                        <w:r w:rsidR="00D73E79">
                          <w:rPr>
                            <w:rFonts w:ascii="Arial" w:hAnsi="Arial" w:cs="Arial"/>
                            <w:sz w:val="18"/>
                            <w:szCs w:val="18"/>
                          </w:rPr>
                          <w:t>.0</w:t>
                        </w:r>
                        <w:r w:rsidRPr="00062F27">
                          <w:rPr>
                            <w:rFonts w:ascii="Arial" w:hAnsi="Arial" w:cs="Arial"/>
                            <w:sz w:val="18"/>
                            <w:szCs w:val="18"/>
                          </w:rPr>
                          <w:t>%</w:t>
                        </w:r>
                        <w:r w:rsidR="00B63086" w:rsidRPr="00062F27">
                          <w:rPr>
                            <w:rFonts w:ascii="Arial" w:hAnsi="Arial" w:cs="Arial"/>
                            <w:sz w:val="18"/>
                            <w:szCs w:val="18"/>
                          </w:rPr>
                          <w:t xml:space="preserve"> per annum</w:t>
                        </w:r>
                        <w:r w:rsidRPr="00062F27">
                          <w:rPr>
                            <w:rFonts w:ascii="Arial" w:hAnsi="Arial" w:cs="Arial"/>
                            <w:sz w:val="18"/>
                            <w:szCs w:val="18"/>
                          </w:rPr>
                          <w:t>)</w:t>
                        </w:r>
                      </w:p>
                    </w:tc>
                  </w:tr>
                </w:tbl>
                <w:p w14:paraId="55DE946B" w14:textId="77777777" w:rsidR="007C427B" w:rsidRPr="00062F27" w:rsidRDefault="007C427B" w:rsidP="001763B0">
                  <w:pPr>
                    <w:pStyle w:val="ListParagraph"/>
                    <w:spacing w:before="120" w:after="120"/>
                    <w:ind w:left="0"/>
                    <w:contextualSpacing w:val="0"/>
                    <w:rPr>
                      <w:rFonts w:ascii="Arial" w:hAnsi="Arial" w:cs="Arial"/>
                      <w:sz w:val="10"/>
                    </w:rPr>
                  </w:pPr>
                </w:p>
              </w:tc>
            </w:tr>
            <w:tr w:rsidR="00607581" w:rsidRPr="00B63086" w14:paraId="34D99AF1" w14:textId="77777777" w:rsidTr="00E93717">
              <w:trPr>
                <w:trHeight w:val="530"/>
              </w:trPr>
              <w:tc>
                <w:tcPr>
                  <w:tcW w:w="2605" w:type="dxa"/>
                  <w:shd w:val="clear" w:color="auto" w:fill="D9D9D9" w:themeFill="background1" w:themeFillShade="D9"/>
                </w:tcPr>
                <w:p w14:paraId="6952449F" w14:textId="77777777" w:rsidR="001C73D7" w:rsidRPr="00B63086" w:rsidRDefault="00726903" w:rsidP="001763B0">
                  <w:pPr>
                    <w:pStyle w:val="ListParagraph"/>
                    <w:spacing w:before="120" w:after="120"/>
                    <w:ind w:left="0"/>
                    <w:contextualSpacing w:val="0"/>
                    <w:rPr>
                      <w:rFonts w:ascii="Arial" w:hAnsi="Arial" w:cs="Arial"/>
                      <w:b/>
                      <w:i/>
                      <w:iCs/>
                      <w:color w:val="404040"/>
                      <w:sz w:val="24"/>
                    </w:rPr>
                  </w:pPr>
                  <w:r>
                    <w:rPr>
                      <w:rFonts w:ascii="Arial" w:hAnsi="Arial" w:cs="Arial"/>
                      <w:b/>
                      <w:sz w:val="24"/>
                    </w:rPr>
                    <w:lastRenderedPageBreak/>
                    <w:t xml:space="preserve">Payment </w:t>
                  </w:r>
                  <w:r w:rsidR="00D2124A" w:rsidRPr="00B63086">
                    <w:rPr>
                      <w:rFonts w:ascii="Arial" w:hAnsi="Arial" w:cs="Arial"/>
                      <w:b/>
                      <w:sz w:val="24"/>
                    </w:rPr>
                    <w:t xml:space="preserve">Frequency </w:t>
                  </w:r>
                </w:p>
              </w:tc>
              <w:tc>
                <w:tcPr>
                  <w:tcW w:w="7020" w:type="dxa"/>
                </w:tcPr>
                <w:p w14:paraId="141F88CB" w14:textId="77777777" w:rsidR="001C73D7" w:rsidRDefault="004C61C3" w:rsidP="0041436A">
                  <w:pPr>
                    <w:pStyle w:val="ListParagraph"/>
                    <w:spacing w:before="120"/>
                    <w:ind w:left="0"/>
                    <w:contextualSpacing w:val="0"/>
                    <w:jc w:val="both"/>
                    <w:rPr>
                      <w:rFonts w:ascii="Arial" w:hAnsi="Arial" w:cs="Arial"/>
                      <w:sz w:val="24"/>
                    </w:rPr>
                  </w:pPr>
                  <w:r>
                    <w:rPr>
                      <w:rFonts w:ascii="Arial" w:hAnsi="Arial" w:cs="Arial"/>
                      <w:sz w:val="24"/>
                    </w:rPr>
                    <w:t xml:space="preserve">Profit shall be paid to the IAH(s) </w:t>
                  </w:r>
                  <w:r w:rsidR="00826B5B">
                    <w:rPr>
                      <w:rFonts w:ascii="Arial" w:hAnsi="Arial" w:cs="Arial"/>
                      <w:sz w:val="24"/>
                    </w:rPr>
                    <w:t xml:space="preserve">quarterly </w:t>
                  </w:r>
                  <w:r w:rsidR="00527E63">
                    <w:rPr>
                      <w:rFonts w:ascii="Arial" w:hAnsi="Arial" w:cs="Arial"/>
                      <w:sz w:val="24"/>
                    </w:rPr>
                    <w:t xml:space="preserve">on every </w:t>
                  </w:r>
                  <w:r w:rsidR="00F322B6">
                    <w:rPr>
                      <w:rFonts w:ascii="Arial" w:hAnsi="Arial" w:cs="Arial"/>
                      <w:sz w:val="24"/>
                    </w:rPr>
                    <w:t>15</w:t>
                  </w:r>
                  <w:r w:rsidR="004071E2" w:rsidRPr="004071E2">
                    <w:rPr>
                      <w:rFonts w:ascii="Arial" w:hAnsi="Arial" w:cs="Arial"/>
                      <w:sz w:val="24"/>
                      <w:vertAlign w:val="superscript"/>
                    </w:rPr>
                    <w:t>th</w:t>
                  </w:r>
                  <w:r w:rsidR="00F322B6">
                    <w:rPr>
                      <w:rFonts w:ascii="Arial" w:hAnsi="Arial" w:cs="Arial"/>
                      <w:sz w:val="24"/>
                    </w:rPr>
                    <w:t xml:space="preserve"> business day</w:t>
                  </w:r>
                  <w:r w:rsidR="00527E63">
                    <w:rPr>
                      <w:rFonts w:ascii="Arial" w:hAnsi="Arial" w:cs="Arial"/>
                      <w:sz w:val="24"/>
                    </w:rPr>
                    <w:t>s</w:t>
                  </w:r>
                  <w:r w:rsidR="00F322B6">
                    <w:rPr>
                      <w:rFonts w:ascii="Arial" w:hAnsi="Arial" w:cs="Arial"/>
                      <w:sz w:val="24"/>
                    </w:rPr>
                    <w:t xml:space="preserve"> </w:t>
                  </w:r>
                  <w:r w:rsidR="001C4B96">
                    <w:rPr>
                      <w:rFonts w:ascii="Arial" w:hAnsi="Arial" w:cs="Arial"/>
                      <w:sz w:val="24"/>
                    </w:rPr>
                    <w:t xml:space="preserve">after </w:t>
                  </w:r>
                  <w:r w:rsidR="00527E63">
                    <w:rPr>
                      <w:rFonts w:ascii="Arial" w:hAnsi="Arial" w:cs="Arial"/>
                      <w:sz w:val="24"/>
                    </w:rPr>
                    <w:t xml:space="preserve">receiving the installment </w:t>
                  </w:r>
                  <w:r>
                    <w:rPr>
                      <w:rFonts w:ascii="Arial" w:hAnsi="Arial" w:cs="Arial"/>
                      <w:sz w:val="24"/>
                    </w:rPr>
                    <w:t xml:space="preserve">payments </w:t>
                  </w:r>
                  <w:r w:rsidR="002E75C7">
                    <w:rPr>
                      <w:rFonts w:ascii="Arial" w:hAnsi="Arial" w:cs="Arial"/>
                      <w:sz w:val="24"/>
                    </w:rPr>
                    <w:t xml:space="preserve">from the Venture </w:t>
                  </w:r>
                  <w:r>
                    <w:rPr>
                      <w:rFonts w:ascii="Arial" w:hAnsi="Arial" w:cs="Arial"/>
                      <w:sz w:val="24"/>
                    </w:rPr>
                    <w:t xml:space="preserve">under the </w:t>
                  </w:r>
                  <w:r w:rsidR="002E75C7">
                    <w:rPr>
                      <w:rFonts w:ascii="Arial" w:hAnsi="Arial" w:cs="Arial"/>
                      <w:sz w:val="24"/>
                    </w:rPr>
                    <w:t>F</w:t>
                  </w:r>
                  <w:r>
                    <w:rPr>
                      <w:rFonts w:ascii="Arial" w:hAnsi="Arial" w:cs="Arial"/>
                      <w:sz w:val="24"/>
                    </w:rPr>
                    <w:t>inancing.</w:t>
                  </w:r>
                </w:p>
                <w:p w14:paraId="18CF7EFC" w14:textId="77777777" w:rsidR="005B6BE4" w:rsidRDefault="005B6BE4" w:rsidP="0041436A">
                  <w:pPr>
                    <w:pStyle w:val="ListParagraph"/>
                    <w:spacing w:before="120"/>
                    <w:ind w:left="0"/>
                    <w:contextualSpacing w:val="0"/>
                    <w:jc w:val="both"/>
                    <w:rPr>
                      <w:rFonts w:ascii="Arial" w:hAnsi="Arial" w:cs="Arial"/>
                      <w:sz w:val="24"/>
                    </w:rPr>
                  </w:pPr>
                  <w:r>
                    <w:rPr>
                      <w:rFonts w:ascii="Arial" w:hAnsi="Arial" w:cs="Arial"/>
                      <w:sz w:val="24"/>
                    </w:rPr>
                    <w:t xml:space="preserve">Principal shall be paid to the IAH(s) </w:t>
                  </w:r>
                  <w:r w:rsidR="00826B5B">
                    <w:rPr>
                      <w:rFonts w:ascii="Arial" w:hAnsi="Arial" w:cs="Arial"/>
                      <w:sz w:val="24"/>
                    </w:rPr>
                    <w:t>quarterly</w:t>
                  </w:r>
                  <w:r>
                    <w:rPr>
                      <w:rFonts w:ascii="Arial" w:hAnsi="Arial" w:cs="Arial"/>
                      <w:sz w:val="24"/>
                    </w:rPr>
                    <w:t xml:space="preserve"> </w:t>
                  </w:r>
                  <w:r w:rsidR="00CB0C10">
                    <w:rPr>
                      <w:rFonts w:ascii="Arial" w:hAnsi="Arial" w:cs="Arial"/>
                      <w:sz w:val="24"/>
                    </w:rPr>
                    <w:t>coterminous with the profit payments paid to the IAH(s)</w:t>
                  </w:r>
                  <w:r>
                    <w:rPr>
                      <w:rFonts w:ascii="Arial" w:hAnsi="Arial" w:cs="Arial"/>
                      <w:sz w:val="24"/>
                    </w:rPr>
                    <w:t>, from and subject to receipt of principal payments from the Venture under the Financing, as follows:-</w:t>
                  </w:r>
                </w:p>
                <w:p w14:paraId="6B47359A" w14:textId="77777777" w:rsidR="0041436A" w:rsidRDefault="0041436A" w:rsidP="0041436A">
                  <w:pPr>
                    <w:pStyle w:val="ListParagraph"/>
                    <w:ind w:left="0"/>
                    <w:contextualSpacing w:val="0"/>
                    <w:jc w:val="both"/>
                    <w:rPr>
                      <w:rFonts w:ascii="Arial" w:hAnsi="Arial" w:cs="Arial"/>
                      <w:sz w:val="24"/>
                    </w:rPr>
                  </w:pPr>
                </w:p>
                <w:tbl>
                  <w:tblPr>
                    <w:tblStyle w:val="TableGrid"/>
                    <w:tblW w:w="5040" w:type="dxa"/>
                    <w:tblInd w:w="337" w:type="dxa"/>
                    <w:tblLayout w:type="fixed"/>
                    <w:tblLook w:val="04A0" w:firstRow="1" w:lastRow="0" w:firstColumn="1" w:lastColumn="0" w:noHBand="0" w:noVBand="1"/>
                  </w:tblPr>
                  <w:tblGrid>
                    <w:gridCol w:w="1944"/>
                    <w:gridCol w:w="3096"/>
                  </w:tblGrid>
                  <w:tr w:rsidR="00245758" w14:paraId="63AFF883" w14:textId="77777777" w:rsidTr="00826B5B">
                    <w:trPr>
                      <w:tblHeader/>
                    </w:trPr>
                    <w:tc>
                      <w:tcPr>
                        <w:tcW w:w="1944" w:type="dxa"/>
                        <w:shd w:val="clear" w:color="auto" w:fill="D9D9D9" w:themeFill="background1" w:themeFillShade="D9"/>
                      </w:tcPr>
                      <w:p w14:paraId="25E04DA8" w14:textId="77777777" w:rsidR="00245758" w:rsidRPr="0041436A" w:rsidRDefault="00245758" w:rsidP="00245758">
                        <w:pPr>
                          <w:pStyle w:val="ListParagraph"/>
                          <w:spacing w:before="120" w:after="120"/>
                          <w:ind w:left="0" w:firstLine="201"/>
                          <w:contextualSpacing w:val="0"/>
                          <w:jc w:val="center"/>
                          <w:rPr>
                            <w:rFonts w:ascii="Arial" w:hAnsi="Arial" w:cs="Arial"/>
                            <w:b/>
                            <w:sz w:val="20"/>
                            <w:szCs w:val="20"/>
                          </w:rPr>
                        </w:pPr>
                        <w:r w:rsidRPr="0041436A">
                          <w:rPr>
                            <w:rFonts w:ascii="Arial" w:hAnsi="Arial" w:cs="Arial"/>
                            <w:b/>
                            <w:sz w:val="20"/>
                            <w:szCs w:val="20"/>
                          </w:rPr>
                          <w:t xml:space="preserve">End of </w:t>
                        </w:r>
                        <w:r>
                          <w:rPr>
                            <w:rFonts w:ascii="Arial" w:hAnsi="Arial" w:cs="Arial"/>
                            <w:b/>
                            <w:sz w:val="20"/>
                            <w:szCs w:val="20"/>
                          </w:rPr>
                          <w:t>Quarter</w:t>
                        </w:r>
                      </w:p>
                    </w:tc>
                    <w:tc>
                      <w:tcPr>
                        <w:tcW w:w="3096" w:type="dxa"/>
                        <w:shd w:val="clear" w:color="auto" w:fill="D9D9D9" w:themeFill="background1" w:themeFillShade="D9"/>
                      </w:tcPr>
                      <w:p w14:paraId="290FF17C" w14:textId="77777777" w:rsidR="00245758" w:rsidRPr="0041436A" w:rsidRDefault="00245758" w:rsidP="00245758">
                        <w:pPr>
                          <w:pStyle w:val="ListParagraph"/>
                          <w:spacing w:before="120" w:after="120"/>
                          <w:ind w:left="0" w:firstLine="201"/>
                          <w:contextualSpacing w:val="0"/>
                          <w:jc w:val="center"/>
                          <w:rPr>
                            <w:rFonts w:ascii="Arial" w:hAnsi="Arial" w:cs="Arial"/>
                            <w:b/>
                            <w:sz w:val="20"/>
                            <w:szCs w:val="20"/>
                          </w:rPr>
                        </w:pPr>
                        <w:r w:rsidRPr="0041436A">
                          <w:rPr>
                            <w:rFonts w:ascii="Arial" w:hAnsi="Arial" w:cs="Arial"/>
                            <w:b/>
                            <w:sz w:val="20"/>
                            <w:szCs w:val="20"/>
                          </w:rPr>
                          <w:t>P</w:t>
                        </w:r>
                        <w:r>
                          <w:rPr>
                            <w:rFonts w:ascii="Arial" w:hAnsi="Arial" w:cs="Arial"/>
                            <w:b/>
                            <w:sz w:val="20"/>
                            <w:szCs w:val="20"/>
                          </w:rPr>
                          <w:t>ercentage of Principal</w:t>
                        </w:r>
                      </w:p>
                    </w:tc>
                  </w:tr>
                  <w:tr w:rsidR="00245758" w14:paraId="711565E8" w14:textId="77777777" w:rsidTr="00826B5B">
                    <w:tc>
                      <w:tcPr>
                        <w:tcW w:w="1944" w:type="dxa"/>
                      </w:tcPr>
                      <w:p w14:paraId="70DDAAF4"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w:t>
                        </w:r>
                      </w:p>
                    </w:tc>
                    <w:tc>
                      <w:tcPr>
                        <w:tcW w:w="3096" w:type="dxa"/>
                      </w:tcPr>
                      <w:p w14:paraId="02F44C07"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r w:rsidR="00245758">
                          <w:rPr>
                            <w:rFonts w:ascii="Arial" w:hAnsi="Arial" w:cs="Arial"/>
                            <w:sz w:val="20"/>
                            <w:szCs w:val="20"/>
                          </w:rPr>
                          <w:t>%</w:t>
                        </w:r>
                      </w:p>
                    </w:tc>
                  </w:tr>
                  <w:tr w:rsidR="00245758" w14:paraId="0669A2A2" w14:textId="77777777" w:rsidTr="00826B5B">
                    <w:tc>
                      <w:tcPr>
                        <w:tcW w:w="1944" w:type="dxa"/>
                      </w:tcPr>
                      <w:p w14:paraId="5CF36C6B"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2</w:t>
                        </w:r>
                      </w:p>
                    </w:tc>
                    <w:tc>
                      <w:tcPr>
                        <w:tcW w:w="3096" w:type="dxa"/>
                      </w:tcPr>
                      <w:p w14:paraId="01932E73"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p>
                    </w:tc>
                  </w:tr>
                  <w:tr w:rsidR="00245758" w14:paraId="4E3554EA" w14:textId="77777777" w:rsidTr="00826B5B">
                    <w:tc>
                      <w:tcPr>
                        <w:tcW w:w="1944" w:type="dxa"/>
                      </w:tcPr>
                      <w:p w14:paraId="1D90E4D1"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3</w:t>
                        </w:r>
                      </w:p>
                    </w:tc>
                    <w:tc>
                      <w:tcPr>
                        <w:tcW w:w="3096" w:type="dxa"/>
                      </w:tcPr>
                      <w:p w14:paraId="5AA6DB3B"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p>
                    </w:tc>
                  </w:tr>
                  <w:tr w:rsidR="00245758" w14:paraId="3CE3B1DA" w14:textId="77777777" w:rsidTr="00826B5B">
                    <w:tc>
                      <w:tcPr>
                        <w:tcW w:w="1944" w:type="dxa"/>
                      </w:tcPr>
                      <w:p w14:paraId="6F077B82"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4</w:t>
                        </w:r>
                      </w:p>
                    </w:tc>
                    <w:tc>
                      <w:tcPr>
                        <w:tcW w:w="3096" w:type="dxa"/>
                      </w:tcPr>
                      <w:p w14:paraId="0D1A16A7"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p>
                    </w:tc>
                  </w:tr>
                  <w:tr w:rsidR="00245758" w14:paraId="5BF16B4A" w14:textId="77777777" w:rsidTr="00826B5B">
                    <w:tc>
                      <w:tcPr>
                        <w:tcW w:w="1944" w:type="dxa"/>
                      </w:tcPr>
                      <w:p w14:paraId="062ABFFB"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5</w:t>
                        </w:r>
                      </w:p>
                    </w:tc>
                    <w:tc>
                      <w:tcPr>
                        <w:tcW w:w="3096" w:type="dxa"/>
                      </w:tcPr>
                      <w:p w14:paraId="3113B41C"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p>
                    </w:tc>
                  </w:tr>
                  <w:tr w:rsidR="00245758" w14:paraId="681806E2" w14:textId="77777777" w:rsidTr="00826B5B">
                    <w:tc>
                      <w:tcPr>
                        <w:tcW w:w="1944" w:type="dxa"/>
                      </w:tcPr>
                      <w:p w14:paraId="57ADDCE8" w14:textId="77777777" w:rsidR="00245758" w:rsidRPr="0041436A" w:rsidRDefault="00245758"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6</w:t>
                        </w:r>
                      </w:p>
                    </w:tc>
                    <w:tc>
                      <w:tcPr>
                        <w:tcW w:w="3096" w:type="dxa"/>
                      </w:tcPr>
                      <w:p w14:paraId="4400A71E" w14:textId="77777777" w:rsidR="00245758" w:rsidRPr="0041436A" w:rsidRDefault="00A32DBB" w:rsidP="00245758">
                        <w:pPr>
                          <w:pStyle w:val="ListParagraph"/>
                          <w:spacing w:before="120" w:after="120"/>
                          <w:ind w:left="0" w:firstLine="201"/>
                          <w:contextualSpacing w:val="0"/>
                          <w:jc w:val="center"/>
                          <w:rPr>
                            <w:rFonts w:ascii="Arial" w:hAnsi="Arial" w:cs="Arial"/>
                            <w:sz w:val="20"/>
                            <w:szCs w:val="20"/>
                          </w:rPr>
                        </w:pPr>
                        <w:r>
                          <w:rPr>
                            <w:rFonts w:ascii="Arial" w:hAnsi="Arial" w:cs="Arial"/>
                            <w:sz w:val="20"/>
                            <w:szCs w:val="20"/>
                          </w:rPr>
                          <w:t>16.67%</w:t>
                        </w:r>
                      </w:p>
                    </w:tc>
                  </w:tr>
                  <w:tr w:rsidR="00245758" w14:paraId="1CDD1EE3" w14:textId="77777777" w:rsidTr="00826B5B">
                    <w:tc>
                      <w:tcPr>
                        <w:tcW w:w="1944" w:type="dxa"/>
                      </w:tcPr>
                      <w:p w14:paraId="7CCCF5E6" w14:textId="77777777" w:rsidR="00245758" w:rsidRPr="00245758" w:rsidRDefault="00245758" w:rsidP="00245758">
                        <w:pPr>
                          <w:pStyle w:val="ListParagraph"/>
                          <w:spacing w:before="120" w:after="120"/>
                          <w:ind w:left="0" w:firstLine="201"/>
                          <w:contextualSpacing w:val="0"/>
                          <w:jc w:val="center"/>
                          <w:rPr>
                            <w:rFonts w:ascii="Arial" w:hAnsi="Arial" w:cs="Arial"/>
                            <w:b/>
                            <w:sz w:val="20"/>
                            <w:szCs w:val="20"/>
                          </w:rPr>
                        </w:pPr>
                        <w:r w:rsidRPr="00245758">
                          <w:rPr>
                            <w:rFonts w:ascii="Arial" w:hAnsi="Arial" w:cs="Arial"/>
                            <w:b/>
                            <w:sz w:val="20"/>
                            <w:szCs w:val="20"/>
                          </w:rPr>
                          <w:t>Total</w:t>
                        </w:r>
                      </w:p>
                    </w:tc>
                    <w:tc>
                      <w:tcPr>
                        <w:tcW w:w="3096" w:type="dxa"/>
                      </w:tcPr>
                      <w:p w14:paraId="5E0264AD" w14:textId="77777777" w:rsidR="00245758" w:rsidRPr="00245758" w:rsidRDefault="00245758" w:rsidP="00245758">
                        <w:pPr>
                          <w:pStyle w:val="ListParagraph"/>
                          <w:spacing w:before="120" w:after="120"/>
                          <w:ind w:left="0" w:firstLine="201"/>
                          <w:contextualSpacing w:val="0"/>
                          <w:jc w:val="center"/>
                          <w:rPr>
                            <w:rFonts w:ascii="Arial" w:hAnsi="Arial" w:cs="Arial"/>
                            <w:b/>
                            <w:sz w:val="20"/>
                            <w:szCs w:val="20"/>
                          </w:rPr>
                        </w:pPr>
                        <w:r w:rsidRPr="00245758">
                          <w:rPr>
                            <w:rFonts w:ascii="Arial" w:hAnsi="Arial" w:cs="Arial"/>
                            <w:b/>
                            <w:sz w:val="20"/>
                            <w:szCs w:val="20"/>
                          </w:rPr>
                          <w:t>100%</w:t>
                        </w:r>
                      </w:p>
                    </w:tc>
                  </w:tr>
                </w:tbl>
                <w:p w14:paraId="69F69C5D" w14:textId="77777777" w:rsidR="00826B5B" w:rsidRPr="00B63086" w:rsidRDefault="00826B5B" w:rsidP="004C61C3">
                  <w:pPr>
                    <w:pStyle w:val="ListParagraph"/>
                    <w:spacing w:before="120" w:after="120"/>
                    <w:ind w:left="0"/>
                    <w:contextualSpacing w:val="0"/>
                    <w:jc w:val="both"/>
                    <w:rPr>
                      <w:rFonts w:ascii="Arial" w:hAnsi="Arial" w:cs="Arial"/>
                      <w:sz w:val="24"/>
                    </w:rPr>
                  </w:pPr>
                </w:p>
              </w:tc>
            </w:tr>
            <w:tr w:rsidR="00607581" w:rsidRPr="00B63086" w14:paraId="1FA58CB5" w14:textId="77777777" w:rsidTr="00E93717">
              <w:tc>
                <w:tcPr>
                  <w:tcW w:w="2605" w:type="dxa"/>
                  <w:shd w:val="clear" w:color="auto" w:fill="D9D9D9" w:themeFill="background1" w:themeFillShade="D9"/>
                </w:tcPr>
                <w:p w14:paraId="1B19CC65" w14:textId="77777777" w:rsidR="001C73D7" w:rsidRPr="00B63086" w:rsidRDefault="004C61C3" w:rsidP="004C61C3">
                  <w:pPr>
                    <w:pStyle w:val="ListParagraph"/>
                    <w:spacing w:before="120" w:after="120"/>
                    <w:ind w:left="0"/>
                    <w:contextualSpacing w:val="0"/>
                    <w:rPr>
                      <w:rFonts w:ascii="Arial" w:hAnsi="Arial" w:cs="Arial"/>
                      <w:b/>
                      <w:sz w:val="24"/>
                    </w:rPr>
                  </w:pPr>
                  <w:r>
                    <w:rPr>
                      <w:rFonts w:ascii="Arial" w:hAnsi="Arial" w:cs="Arial"/>
                      <w:b/>
                      <w:sz w:val="24"/>
                    </w:rPr>
                    <w:t>P</w:t>
                  </w:r>
                  <w:r w:rsidR="0028029E" w:rsidRPr="00B63086">
                    <w:rPr>
                      <w:rFonts w:ascii="Arial" w:hAnsi="Arial" w:cs="Arial"/>
                      <w:b/>
                      <w:sz w:val="24"/>
                    </w:rPr>
                    <w:t>ayment method</w:t>
                  </w:r>
                </w:p>
              </w:tc>
              <w:tc>
                <w:tcPr>
                  <w:tcW w:w="7020" w:type="dxa"/>
                </w:tcPr>
                <w:p w14:paraId="47C3050D" w14:textId="77777777" w:rsidR="001C73D7" w:rsidRPr="00B63086" w:rsidRDefault="00D2124A" w:rsidP="00D73E79">
                  <w:pPr>
                    <w:pStyle w:val="ListParagraph"/>
                    <w:spacing w:before="120" w:after="120"/>
                    <w:ind w:left="0"/>
                    <w:contextualSpacing w:val="0"/>
                    <w:jc w:val="both"/>
                    <w:rPr>
                      <w:rFonts w:ascii="Arial" w:hAnsi="Arial" w:cs="Arial"/>
                      <w:sz w:val="24"/>
                    </w:rPr>
                  </w:pPr>
                  <w:r w:rsidRPr="00B63086">
                    <w:rPr>
                      <w:rFonts w:ascii="Arial" w:hAnsi="Arial" w:cs="Arial"/>
                      <w:sz w:val="24"/>
                    </w:rPr>
                    <w:t xml:space="preserve">Payment of profit </w:t>
                  </w:r>
                  <w:r w:rsidR="004C61C3">
                    <w:rPr>
                      <w:rFonts w:ascii="Arial" w:hAnsi="Arial" w:cs="Arial"/>
                      <w:sz w:val="24"/>
                    </w:rPr>
                    <w:t xml:space="preserve">and principal </w:t>
                  </w:r>
                  <w:r w:rsidRPr="00B63086">
                    <w:rPr>
                      <w:rFonts w:ascii="Arial" w:hAnsi="Arial" w:cs="Arial"/>
                      <w:sz w:val="24"/>
                    </w:rPr>
                    <w:t>will be credited into IAH</w:t>
                  </w:r>
                  <w:r w:rsidR="00D73E79">
                    <w:rPr>
                      <w:rFonts w:ascii="Arial" w:hAnsi="Arial" w:cs="Arial"/>
                      <w:sz w:val="24"/>
                    </w:rPr>
                    <w:t>(s)</w:t>
                  </w:r>
                  <w:r w:rsidRPr="00B63086">
                    <w:rPr>
                      <w:rFonts w:ascii="Arial" w:hAnsi="Arial" w:cs="Arial"/>
                      <w:sz w:val="24"/>
                    </w:rPr>
                    <w:t>’</w:t>
                  </w:r>
                  <w:r w:rsidR="00A34E93">
                    <w:rPr>
                      <w:rFonts w:ascii="Arial" w:hAnsi="Arial" w:cs="Arial"/>
                      <w:sz w:val="24"/>
                    </w:rPr>
                    <w:t>s</w:t>
                  </w:r>
                  <w:r w:rsidRPr="00B63086">
                    <w:rPr>
                      <w:rFonts w:ascii="Arial" w:hAnsi="Arial" w:cs="Arial"/>
                      <w:sz w:val="24"/>
                    </w:rPr>
                    <w:t xml:space="preserve"> </w:t>
                  </w:r>
                  <w:r w:rsidR="005476FC" w:rsidRPr="00B63086">
                    <w:rPr>
                      <w:rFonts w:ascii="Arial" w:hAnsi="Arial" w:cs="Arial"/>
                      <w:sz w:val="24"/>
                    </w:rPr>
                    <w:t xml:space="preserve">active </w:t>
                  </w:r>
                  <w:r w:rsidRPr="00B63086">
                    <w:rPr>
                      <w:rFonts w:ascii="Arial" w:hAnsi="Arial" w:cs="Arial"/>
                      <w:sz w:val="24"/>
                    </w:rPr>
                    <w:t>account opened with the Bank.</w:t>
                  </w:r>
                </w:p>
              </w:tc>
            </w:tr>
            <w:tr w:rsidR="00D2124A" w:rsidRPr="00B63086" w14:paraId="0F1F51CB" w14:textId="77777777" w:rsidTr="00E93717">
              <w:trPr>
                <w:trHeight w:val="746"/>
              </w:trPr>
              <w:tc>
                <w:tcPr>
                  <w:tcW w:w="2605" w:type="dxa"/>
                  <w:shd w:val="clear" w:color="auto" w:fill="D9D9D9" w:themeFill="background1" w:themeFillShade="D9"/>
                </w:tcPr>
                <w:p w14:paraId="2D13AC16" w14:textId="77777777" w:rsidR="001C73D7" w:rsidRPr="00B63086" w:rsidRDefault="00D2124A" w:rsidP="001763B0">
                  <w:pPr>
                    <w:pStyle w:val="ListParagraph"/>
                    <w:spacing w:before="120" w:after="120"/>
                    <w:ind w:left="0"/>
                    <w:contextualSpacing w:val="0"/>
                    <w:rPr>
                      <w:rFonts w:ascii="Arial" w:hAnsi="Arial" w:cs="Arial"/>
                      <w:b/>
                      <w:sz w:val="24"/>
                    </w:rPr>
                  </w:pPr>
                  <w:r w:rsidRPr="00B63086">
                    <w:rPr>
                      <w:rFonts w:ascii="Arial" w:hAnsi="Arial" w:cs="Arial"/>
                      <w:b/>
                      <w:sz w:val="24"/>
                    </w:rPr>
                    <w:t>Redemption / Withdrawal</w:t>
                  </w:r>
                </w:p>
              </w:tc>
              <w:tc>
                <w:tcPr>
                  <w:tcW w:w="7020" w:type="dxa"/>
                </w:tcPr>
                <w:p w14:paraId="66BD8189" w14:textId="77777777" w:rsidR="001C73D7" w:rsidRPr="00B63086" w:rsidRDefault="00D2124A" w:rsidP="001763B0">
                  <w:pPr>
                    <w:pStyle w:val="ListParagraph"/>
                    <w:spacing w:before="120" w:after="120"/>
                    <w:ind w:left="0"/>
                    <w:contextualSpacing w:val="0"/>
                    <w:rPr>
                      <w:rFonts w:ascii="Arial" w:hAnsi="Arial" w:cs="Arial"/>
                      <w:sz w:val="24"/>
                    </w:rPr>
                  </w:pPr>
                  <w:r w:rsidRPr="00B63086">
                    <w:rPr>
                      <w:rFonts w:ascii="Arial" w:hAnsi="Arial" w:cs="Arial"/>
                      <w:sz w:val="24"/>
                    </w:rPr>
                    <w:t>Early redemption or withdrawal of investment prior to maturity is not allowed.</w:t>
                  </w:r>
                </w:p>
              </w:tc>
            </w:tr>
            <w:tr w:rsidR="00D2124A" w:rsidRPr="00B63086" w14:paraId="4197888E" w14:textId="77777777" w:rsidTr="00E93717">
              <w:trPr>
                <w:trHeight w:val="530"/>
              </w:trPr>
              <w:tc>
                <w:tcPr>
                  <w:tcW w:w="2605" w:type="dxa"/>
                  <w:shd w:val="clear" w:color="auto" w:fill="D9D9D9" w:themeFill="background1" w:themeFillShade="D9"/>
                </w:tcPr>
                <w:p w14:paraId="3F91973D" w14:textId="77777777" w:rsidR="001C73D7" w:rsidRPr="00B63086" w:rsidRDefault="00D2124A" w:rsidP="001763B0">
                  <w:pPr>
                    <w:pStyle w:val="ListParagraph"/>
                    <w:spacing w:before="120" w:after="120"/>
                    <w:ind w:left="0"/>
                    <w:contextualSpacing w:val="0"/>
                    <w:rPr>
                      <w:rFonts w:ascii="Arial" w:hAnsi="Arial" w:cs="Arial"/>
                      <w:b/>
                      <w:sz w:val="24"/>
                    </w:rPr>
                  </w:pPr>
                  <w:r w:rsidRPr="00B63086">
                    <w:rPr>
                      <w:rFonts w:ascii="Arial" w:hAnsi="Arial" w:cs="Arial"/>
                      <w:b/>
                      <w:sz w:val="24"/>
                    </w:rPr>
                    <w:t>Reinvestment</w:t>
                  </w:r>
                </w:p>
              </w:tc>
              <w:tc>
                <w:tcPr>
                  <w:tcW w:w="7020" w:type="dxa"/>
                </w:tcPr>
                <w:p w14:paraId="4F63C55E" w14:textId="77777777" w:rsidR="001C73D7" w:rsidRPr="00B63086" w:rsidRDefault="00144C58" w:rsidP="001763B0">
                  <w:pPr>
                    <w:pStyle w:val="ListParagraph"/>
                    <w:spacing w:before="120" w:after="120"/>
                    <w:ind w:left="0"/>
                    <w:contextualSpacing w:val="0"/>
                    <w:rPr>
                      <w:rFonts w:ascii="Arial" w:hAnsi="Arial" w:cs="Arial"/>
                      <w:sz w:val="24"/>
                    </w:rPr>
                  </w:pPr>
                  <w:r w:rsidRPr="00B63086">
                    <w:rPr>
                      <w:rFonts w:ascii="Arial" w:hAnsi="Arial" w:cs="Arial"/>
                      <w:sz w:val="24"/>
                    </w:rPr>
                    <w:t>No</w:t>
                  </w:r>
                  <w:r w:rsidR="005476FC" w:rsidRPr="00B63086">
                    <w:rPr>
                      <w:rFonts w:ascii="Arial" w:hAnsi="Arial" w:cs="Arial"/>
                      <w:sz w:val="24"/>
                    </w:rPr>
                    <w:t>t</w:t>
                  </w:r>
                  <w:r w:rsidRPr="00B63086">
                    <w:rPr>
                      <w:rFonts w:ascii="Arial" w:hAnsi="Arial" w:cs="Arial"/>
                      <w:sz w:val="24"/>
                    </w:rPr>
                    <w:t xml:space="preserve"> allowed.</w:t>
                  </w:r>
                </w:p>
              </w:tc>
            </w:tr>
            <w:tr w:rsidR="0028029E" w:rsidRPr="00B63086" w14:paraId="748B0D2B" w14:textId="77777777" w:rsidTr="00E93717">
              <w:trPr>
                <w:trHeight w:val="1412"/>
              </w:trPr>
              <w:tc>
                <w:tcPr>
                  <w:tcW w:w="2605" w:type="dxa"/>
                  <w:shd w:val="clear" w:color="auto" w:fill="D9D9D9" w:themeFill="background1" w:themeFillShade="D9"/>
                </w:tcPr>
                <w:p w14:paraId="6D5E8E85" w14:textId="77777777" w:rsidR="001C73D7" w:rsidRPr="00B63086" w:rsidRDefault="0028029E" w:rsidP="001763B0">
                  <w:pPr>
                    <w:pStyle w:val="ListParagraph"/>
                    <w:spacing w:before="120" w:after="120"/>
                    <w:ind w:left="0"/>
                    <w:contextualSpacing w:val="0"/>
                    <w:rPr>
                      <w:rFonts w:ascii="Arial" w:hAnsi="Arial" w:cs="Arial"/>
                      <w:b/>
                      <w:sz w:val="24"/>
                    </w:rPr>
                  </w:pPr>
                  <w:r w:rsidRPr="00B63086">
                    <w:rPr>
                      <w:rFonts w:ascii="Arial" w:hAnsi="Arial" w:cs="Arial"/>
                      <w:b/>
                      <w:sz w:val="24"/>
                    </w:rPr>
                    <w:t>Key terms and conditions</w:t>
                  </w:r>
                </w:p>
              </w:tc>
              <w:tc>
                <w:tcPr>
                  <w:tcW w:w="7020" w:type="dxa"/>
                </w:tcPr>
                <w:p w14:paraId="5F8E6379" w14:textId="77777777" w:rsidR="001C73D7" w:rsidRPr="00B63086" w:rsidRDefault="00144C58" w:rsidP="00D73E79">
                  <w:pPr>
                    <w:pStyle w:val="ListParagraph"/>
                    <w:spacing w:before="120" w:after="120"/>
                    <w:ind w:left="0"/>
                    <w:contextualSpacing w:val="0"/>
                    <w:jc w:val="both"/>
                    <w:rPr>
                      <w:rFonts w:ascii="Arial" w:hAnsi="Arial" w:cs="Arial"/>
                      <w:sz w:val="24"/>
                    </w:rPr>
                  </w:pPr>
                  <w:r w:rsidRPr="00B63086">
                    <w:rPr>
                      <w:rFonts w:ascii="Arial" w:hAnsi="Arial" w:cs="Arial"/>
                      <w:sz w:val="24"/>
                    </w:rPr>
                    <w:t>This RIA is subject to the terms and conditions as disclosed in the Information Memorandum, this Product Disclosure Sheet and the accompanying General Terms and Conditions. The IAH</w:t>
                  </w:r>
                  <w:r w:rsidR="00A34E93">
                    <w:rPr>
                      <w:rFonts w:ascii="Arial" w:hAnsi="Arial" w:cs="Arial"/>
                      <w:sz w:val="24"/>
                    </w:rPr>
                    <w:t>(s)</w:t>
                  </w:r>
                  <w:r w:rsidRPr="00B63086">
                    <w:rPr>
                      <w:rFonts w:ascii="Arial" w:hAnsi="Arial" w:cs="Arial"/>
                      <w:sz w:val="24"/>
                    </w:rPr>
                    <w:t xml:space="preserve"> is advised to read all of them carefully as they are of equal importance.</w:t>
                  </w:r>
                </w:p>
              </w:tc>
            </w:tr>
            <w:tr w:rsidR="00AF4604" w:rsidRPr="00B63086" w14:paraId="61AB60B3" w14:textId="77777777" w:rsidTr="00E93717">
              <w:trPr>
                <w:trHeight w:val="836"/>
              </w:trPr>
              <w:tc>
                <w:tcPr>
                  <w:tcW w:w="2605" w:type="dxa"/>
                  <w:shd w:val="clear" w:color="auto" w:fill="D9D9D9" w:themeFill="background1" w:themeFillShade="D9"/>
                </w:tcPr>
                <w:p w14:paraId="15852043" w14:textId="77777777" w:rsidR="001C73D7" w:rsidRPr="00B63086" w:rsidRDefault="00AF4604" w:rsidP="001763B0">
                  <w:pPr>
                    <w:pStyle w:val="ListParagraph"/>
                    <w:spacing w:before="120" w:after="120"/>
                    <w:ind w:left="0"/>
                    <w:contextualSpacing w:val="0"/>
                    <w:rPr>
                      <w:rFonts w:ascii="Arial" w:hAnsi="Arial" w:cs="Arial"/>
                      <w:b/>
                      <w:sz w:val="24"/>
                    </w:rPr>
                  </w:pPr>
                  <w:r w:rsidRPr="00B63086">
                    <w:rPr>
                      <w:rFonts w:ascii="Arial" w:hAnsi="Arial" w:cs="Arial"/>
                      <w:b/>
                      <w:sz w:val="24"/>
                    </w:rPr>
                    <w:t>PIDM Coverage</w:t>
                  </w:r>
                </w:p>
              </w:tc>
              <w:tc>
                <w:tcPr>
                  <w:tcW w:w="7020" w:type="dxa"/>
                </w:tcPr>
                <w:p w14:paraId="2F3364B6" w14:textId="77777777" w:rsidR="001C73D7" w:rsidRPr="00B63086" w:rsidRDefault="00EC3786" w:rsidP="00A34E93">
                  <w:pPr>
                    <w:pStyle w:val="ListParagraph"/>
                    <w:spacing w:before="120" w:after="120"/>
                    <w:ind w:left="0"/>
                    <w:contextualSpacing w:val="0"/>
                    <w:jc w:val="both"/>
                    <w:rPr>
                      <w:rFonts w:ascii="Arial" w:hAnsi="Arial" w:cs="Arial"/>
                      <w:sz w:val="24"/>
                    </w:rPr>
                  </w:pPr>
                  <w:r w:rsidRPr="00B63086">
                    <w:rPr>
                      <w:rFonts w:ascii="Arial" w:hAnsi="Arial" w:cs="Arial"/>
                      <w:sz w:val="24"/>
                    </w:rPr>
                    <w:t xml:space="preserve">This Investment Account is not </w:t>
                  </w:r>
                  <w:r w:rsidR="001C73D7">
                    <w:rPr>
                      <w:rFonts w:ascii="Arial" w:hAnsi="Arial" w:cs="Arial"/>
                      <w:sz w:val="24"/>
                    </w:rPr>
                    <w:t>insured</w:t>
                  </w:r>
                  <w:r w:rsidRPr="00B63086">
                    <w:rPr>
                      <w:rFonts w:ascii="Arial" w:hAnsi="Arial" w:cs="Arial"/>
                      <w:sz w:val="24"/>
                    </w:rPr>
                    <w:t xml:space="preserve"> by Perbadanan Insurans Deposit Malaysia (PIDM).</w:t>
                  </w:r>
                  <w:r w:rsidR="00E128B5" w:rsidRPr="00B63086">
                    <w:rPr>
                      <w:rFonts w:ascii="Arial" w:hAnsi="Arial" w:cs="Arial"/>
                      <w:sz w:val="24"/>
                    </w:rPr>
                    <w:t xml:space="preserve"> </w:t>
                  </w:r>
                </w:p>
              </w:tc>
            </w:tr>
          </w:tbl>
          <w:p w14:paraId="06A990EB" w14:textId="77777777" w:rsidR="00E462C0" w:rsidRPr="00B63086" w:rsidRDefault="00E462C0" w:rsidP="0028029E">
            <w:pPr>
              <w:rPr>
                <w:rFonts w:ascii="Arial" w:hAnsi="Arial" w:cs="Arial"/>
                <w:sz w:val="24"/>
              </w:rPr>
            </w:pPr>
          </w:p>
        </w:tc>
      </w:tr>
      <w:tr w:rsidR="00B76610" w:rsidRPr="00B63086" w14:paraId="229D56E3" w14:textId="77777777" w:rsidTr="00062F27">
        <w:tc>
          <w:tcPr>
            <w:tcW w:w="9812" w:type="dxa"/>
          </w:tcPr>
          <w:p w14:paraId="70706346" w14:textId="77777777" w:rsidR="00B76610" w:rsidRPr="00B63086" w:rsidRDefault="00B76610" w:rsidP="0028029E">
            <w:pPr>
              <w:rPr>
                <w:rFonts w:ascii="Arial" w:hAnsi="Arial" w:cs="Arial"/>
                <w:sz w:val="24"/>
              </w:rPr>
            </w:pPr>
          </w:p>
        </w:tc>
      </w:tr>
      <w:tr w:rsidR="00B6412A" w:rsidRPr="00B63086" w14:paraId="6E424337" w14:textId="77777777" w:rsidTr="00062F27">
        <w:tc>
          <w:tcPr>
            <w:tcW w:w="9812" w:type="dxa"/>
            <w:shd w:val="clear" w:color="auto" w:fill="000000"/>
          </w:tcPr>
          <w:p w14:paraId="091B1005" w14:textId="77777777" w:rsidR="001C73D7" w:rsidRPr="00B63086" w:rsidRDefault="00EC3786" w:rsidP="00B63086">
            <w:pPr>
              <w:pStyle w:val="ListParagraph"/>
              <w:numPr>
                <w:ilvl w:val="1"/>
                <w:numId w:val="7"/>
              </w:numPr>
              <w:spacing w:before="120" w:after="120"/>
              <w:ind w:left="360"/>
              <w:rPr>
                <w:rFonts w:ascii="Arial" w:hAnsi="Arial" w:cs="Arial"/>
                <w:b/>
                <w:sz w:val="24"/>
              </w:rPr>
            </w:pPr>
            <w:r w:rsidRPr="00B63086">
              <w:rPr>
                <w:rFonts w:ascii="Arial" w:hAnsi="Arial" w:cs="Arial"/>
                <w:b/>
                <w:sz w:val="24"/>
              </w:rPr>
              <w:t xml:space="preserve">  KEY RISKS</w:t>
            </w:r>
          </w:p>
        </w:tc>
      </w:tr>
      <w:tr w:rsidR="00B76610" w:rsidRPr="00B63086" w14:paraId="113857F3" w14:textId="77777777" w:rsidTr="00062F27">
        <w:tc>
          <w:tcPr>
            <w:tcW w:w="9812" w:type="dxa"/>
          </w:tcPr>
          <w:p w14:paraId="7F19860B" w14:textId="77777777" w:rsidR="00B76610" w:rsidRPr="00B63086" w:rsidRDefault="00B76610" w:rsidP="00B63086">
            <w:pPr>
              <w:jc w:val="center"/>
              <w:rPr>
                <w:rFonts w:ascii="Arial" w:hAnsi="Arial" w:cs="Arial"/>
                <w:sz w:val="24"/>
              </w:rPr>
            </w:pPr>
            <w:bookmarkStart w:id="1" w:name="_GoBack"/>
            <w:bookmarkEnd w:id="1"/>
          </w:p>
        </w:tc>
      </w:tr>
      <w:tr w:rsidR="00B6412A" w:rsidRPr="00B63086" w14:paraId="4C08DE52" w14:textId="77777777" w:rsidTr="00062F27">
        <w:trPr>
          <w:trHeight w:val="432"/>
        </w:trPr>
        <w:tc>
          <w:tcPr>
            <w:tcW w:w="9812" w:type="dxa"/>
            <w:shd w:val="clear" w:color="auto" w:fill="000000"/>
          </w:tcPr>
          <w:p w14:paraId="3992B3CF" w14:textId="77777777" w:rsidR="001C73D7" w:rsidRPr="00B63086" w:rsidRDefault="00EC3786" w:rsidP="00B63086">
            <w:pPr>
              <w:spacing w:before="120" w:after="120"/>
              <w:rPr>
                <w:rFonts w:ascii="Arial" w:hAnsi="Arial" w:cs="Arial"/>
                <w:b/>
                <w:i/>
                <w:iCs/>
                <w:color w:val="404040"/>
                <w:sz w:val="24"/>
              </w:rPr>
            </w:pPr>
            <w:r w:rsidRPr="00B63086">
              <w:rPr>
                <w:rFonts w:ascii="Arial" w:hAnsi="Arial" w:cs="Arial"/>
                <w:b/>
                <w:sz w:val="24"/>
              </w:rPr>
              <w:t>What are the possible outcomes of my investments?</w:t>
            </w:r>
          </w:p>
        </w:tc>
      </w:tr>
      <w:tr w:rsidR="0028029E" w:rsidRPr="00B63086" w14:paraId="53AF7BDB" w14:textId="77777777" w:rsidTr="00062F27">
        <w:tc>
          <w:tcPr>
            <w:tcW w:w="9812" w:type="dxa"/>
          </w:tcPr>
          <w:p w14:paraId="0B45CCA1" w14:textId="77777777" w:rsidR="0028029E" w:rsidRPr="00B63086" w:rsidRDefault="0028029E" w:rsidP="00B63086">
            <w:pPr>
              <w:pStyle w:val="ListParagraph"/>
              <w:ind w:left="360"/>
              <w:rPr>
                <w:rFonts w:ascii="Arial" w:hAnsi="Arial" w:cs="Arial"/>
                <w:sz w:val="24"/>
              </w:rPr>
            </w:pPr>
          </w:p>
          <w:p w14:paraId="0FC7F1FE" w14:textId="77777777" w:rsidR="00D446A3" w:rsidRPr="00B63086" w:rsidRDefault="00D446A3" w:rsidP="00F51084">
            <w:pPr>
              <w:pStyle w:val="ListParagraph"/>
              <w:ind w:left="0"/>
              <w:jc w:val="both"/>
              <w:rPr>
                <w:rFonts w:ascii="Arial" w:hAnsi="Arial" w:cs="Arial"/>
                <w:sz w:val="24"/>
              </w:rPr>
            </w:pPr>
            <w:r w:rsidRPr="00B63086">
              <w:rPr>
                <w:rFonts w:ascii="Arial" w:hAnsi="Arial" w:cs="Arial"/>
                <w:sz w:val="24"/>
              </w:rPr>
              <w:t>The investment in the dedicated Venture is expected to give</w:t>
            </w:r>
            <w:r w:rsidR="002D22E9" w:rsidRPr="00B63086">
              <w:rPr>
                <w:rFonts w:ascii="Arial" w:hAnsi="Arial" w:cs="Arial"/>
                <w:sz w:val="24"/>
              </w:rPr>
              <w:t xml:space="preserve"> </w:t>
            </w:r>
            <w:r w:rsidRPr="00B63086">
              <w:rPr>
                <w:rFonts w:ascii="Arial" w:hAnsi="Arial" w:cs="Arial"/>
                <w:sz w:val="24"/>
              </w:rPr>
              <w:t>potential income to the IAH</w:t>
            </w:r>
            <w:r w:rsidR="00F51084">
              <w:rPr>
                <w:rFonts w:ascii="Arial" w:hAnsi="Arial" w:cs="Arial"/>
                <w:sz w:val="24"/>
              </w:rPr>
              <w:t>(s)</w:t>
            </w:r>
            <w:r w:rsidRPr="00B63086">
              <w:rPr>
                <w:rFonts w:ascii="Arial" w:hAnsi="Arial" w:cs="Arial"/>
                <w:sz w:val="24"/>
              </w:rPr>
              <w:t>. However, the IAH</w:t>
            </w:r>
            <w:r w:rsidR="00F51084">
              <w:rPr>
                <w:rFonts w:ascii="Arial" w:hAnsi="Arial" w:cs="Arial"/>
                <w:sz w:val="24"/>
              </w:rPr>
              <w:t>(s)</w:t>
            </w:r>
            <w:r w:rsidRPr="00B63086">
              <w:rPr>
                <w:rFonts w:ascii="Arial" w:hAnsi="Arial" w:cs="Arial"/>
                <w:sz w:val="24"/>
              </w:rPr>
              <w:t xml:space="preserve"> may lose any part or all of </w:t>
            </w:r>
            <w:r w:rsidR="00121D98" w:rsidRPr="00B63086">
              <w:rPr>
                <w:rFonts w:ascii="Arial" w:hAnsi="Arial" w:cs="Arial"/>
                <w:sz w:val="24"/>
              </w:rPr>
              <w:t xml:space="preserve">his </w:t>
            </w:r>
            <w:r w:rsidRPr="00B63086">
              <w:rPr>
                <w:rFonts w:ascii="Arial" w:hAnsi="Arial" w:cs="Arial"/>
                <w:sz w:val="24"/>
              </w:rPr>
              <w:t xml:space="preserve">investment in case of failure of the Venture to perform as expected. </w:t>
            </w:r>
          </w:p>
          <w:p w14:paraId="049B44EA" w14:textId="77777777" w:rsidR="0028029E" w:rsidRPr="00B63086" w:rsidRDefault="0028029E" w:rsidP="00B63086">
            <w:pPr>
              <w:pStyle w:val="ListParagraph"/>
              <w:ind w:left="360"/>
              <w:rPr>
                <w:rFonts w:ascii="Arial" w:hAnsi="Arial" w:cs="Arial"/>
                <w:sz w:val="24"/>
              </w:rPr>
            </w:pPr>
          </w:p>
        </w:tc>
      </w:tr>
      <w:tr w:rsidR="0028029E" w:rsidRPr="00B63086" w14:paraId="49724F50" w14:textId="77777777" w:rsidTr="00062F27">
        <w:tc>
          <w:tcPr>
            <w:tcW w:w="9812" w:type="dxa"/>
            <w:shd w:val="clear" w:color="auto" w:fill="000000"/>
          </w:tcPr>
          <w:p w14:paraId="0E2F58E7" w14:textId="77777777" w:rsidR="001C73D7" w:rsidRPr="00B63086" w:rsidRDefault="00EC3786" w:rsidP="00B63086">
            <w:pPr>
              <w:spacing w:before="120" w:after="120"/>
              <w:rPr>
                <w:rFonts w:ascii="Arial" w:hAnsi="Arial" w:cs="Arial"/>
                <w:b/>
                <w:i/>
                <w:iCs/>
                <w:color w:val="404040"/>
                <w:sz w:val="24"/>
              </w:rPr>
            </w:pPr>
            <w:r w:rsidRPr="00B63086">
              <w:rPr>
                <w:rFonts w:ascii="Arial" w:hAnsi="Arial" w:cs="Arial"/>
                <w:b/>
                <w:sz w:val="24"/>
              </w:rPr>
              <w:t xml:space="preserve">What are the key risks associated with this product </w:t>
            </w:r>
          </w:p>
        </w:tc>
      </w:tr>
      <w:tr w:rsidR="0028029E" w:rsidRPr="00B63086" w14:paraId="7EB77A7D" w14:textId="77777777" w:rsidTr="00062F27">
        <w:tc>
          <w:tcPr>
            <w:tcW w:w="9812" w:type="dxa"/>
          </w:tcPr>
          <w:p w14:paraId="41598F26" w14:textId="77777777" w:rsidR="0028029E" w:rsidRPr="00B63086" w:rsidRDefault="0028029E" w:rsidP="00B63086">
            <w:pPr>
              <w:pStyle w:val="ListParagraph"/>
              <w:ind w:left="360"/>
              <w:jc w:val="both"/>
              <w:rPr>
                <w:rFonts w:ascii="Arial" w:hAnsi="Arial" w:cs="Arial"/>
                <w:sz w:val="24"/>
              </w:rPr>
            </w:pPr>
          </w:p>
          <w:p w14:paraId="23D56B8A" w14:textId="77777777" w:rsidR="00121D98" w:rsidRPr="00B63086" w:rsidRDefault="00121D98" w:rsidP="006E5487">
            <w:pPr>
              <w:pStyle w:val="ListParagraph"/>
              <w:ind w:left="0"/>
              <w:jc w:val="both"/>
              <w:rPr>
                <w:rFonts w:ascii="Arial" w:hAnsi="Arial" w:cs="Arial"/>
                <w:bCs/>
                <w:iCs/>
                <w:sz w:val="24"/>
              </w:rPr>
            </w:pPr>
            <w:r w:rsidRPr="00B63086">
              <w:rPr>
                <w:rFonts w:ascii="Arial" w:hAnsi="Arial" w:cs="Arial"/>
                <w:bCs/>
                <w:iCs/>
                <w:sz w:val="24"/>
              </w:rPr>
              <w:t>All potential IAH</w:t>
            </w:r>
            <w:r w:rsidR="00F51084">
              <w:rPr>
                <w:rFonts w:ascii="Arial" w:hAnsi="Arial" w:cs="Arial"/>
                <w:bCs/>
                <w:iCs/>
                <w:sz w:val="24"/>
              </w:rPr>
              <w:t>(s)</w:t>
            </w:r>
            <w:r w:rsidRPr="00B63086">
              <w:rPr>
                <w:rFonts w:ascii="Arial" w:hAnsi="Arial" w:cs="Arial"/>
                <w:bCs/>
                <w:iCs/>
                <w:sz w:val="24"/>
              </w:rPr>
              <w:t xml:space="preserve"> </w:t>
            </w:r>
            <w:r w:rsidR="00BE486E" w:rsidRPr="00B63086">
              <w:rPr>
                <w:rFonts w:ascii="Arial" w:hAnsi="Arial" w:cs="Arial"/>
                <w:bCs/>
                <w:iCs/>
                <w:sz w:val="24"/>
              </w:rPr>
              <w:t xml:space="preserve">are </w:t>
            </w:r>
            <w:r w:rsidRPr="00B63086">
              <w:rPr>
                <w:rFonts w:ascii="Arial" w:hAnsi="Arial" w:cs="Arial"/>
                <w:bCs/>
                <w:iCs/>
                <w:sz w:val="24"/>
              </w:rPr>
              <w:t xml:space="preserve">strongly encouraged to evaluate the </w:t>
            </w:r>
            <w:r w:rsidR="00BE486E" w:rsidRPr="00B63086">
              <w:rPr>
                <w:rFonts w:ascii="Arial" w:hAnsi="Arial" w:cs="Arial"/>
                <w:bCs/>
                <w:iCs/>
                <w:sz w:val="24"/>
              </w:rPr>
              <w:t xml:space="preserve">Venture </w:t>
            </w:r>
            <w:r w:rsidRPr="00B63086">
              <w:rPr>
                <w:rFonts w:ascii="Arial" w:hAnsi="Arial" w:cs="Arial"/>
                <w:bCs/>
                <w:iCs/>
                <w:sz w:val="24"/>
              </w:rPr>
              <w:t xml:space="preserve">on its own merit before investing in such </w:t>
            </w:r>
            <w:r w:rsidR="00BE486E" w:rsidRPr="00B63086">
              <w:rPr>
                <w:rFonts w:ascii="Arial" w:hAnsi="Arial" w:cs="Arial"/>
                <w:bCs/>
                <w:iCs/>
                <w:sz w:val="24"/>
              </w:rPr>
              <w:t>Venture. All IAH</w:t>
            </w:r>
            <w:r w:rsidR="006E5487">
              <w:rPr>
                <w:rFonts w:ascii="Arial" w:hAnsi="Arial" w:cs="Arial"/>
                <w:bCs/>
                <w:iCs/>
                <w:sz w:val="24"/>
              </w:rPr>
              <w:t>(s)</w:t>
            </w:r>
            <w:r w:rsidR="00BE486E" w:rsidRPr="00B63086">
              <w:rPr>
                <w:rFonts w:ascii="Arial" w:hAnsi="Arial" w:cs="Arial"/>
                <w:bCs/>
                <w:iCs/>
                <w:sz w:val="24"/>
              </w:rPr>
              <w:t xml:space="preserve"> </w:t>
            </w:r>
            <w:r w:rsidRPr="00B63086">
              <w:rPr>
                <w:rFonts w:ascii="Arial" w:hAnsi="Arial" w:cs="Arial"/>
                <w:bCs/>
                <w:iCs/>
                <w:sz w:val="24"/>
              </w:rPr>
              <w:t>are advised to carefully consider all risk factors before making an</w:t>
            </w:r>
            <w:r w:rsidR="009C432D" w:rsidRPr="00B63086">
              <w:rPr>
                <w:rFonts w:ascii="Arial" w:hAnsi="Arial" w:cs="Arial"/>
                <w:bCs/>
                <w:iCs/>
                <w:sz w:val="24"/>
              </w:rPr>
              <w:t>y</w:t>
            </w:r>
            <w:r w:rsidRPr="00B63086">
              <w:rPr>
                <w:rFonts w:ascii="Arial" w:hAnsi="Arial" w:cs="Arial"/>
                <w:bCs/>
                <w:iCs/>
                <w:sz w:val="24"/>
              </w:rPr>
              <w:t xml:space="preserve"> investment decision. </w:t>
            </w:r>
          </w:p>
          <w:p w14:paraId="4D8B5297" w14:textId="77777777" w:rsidR="00333D5B" w:rsidRPr="00B63086" w:rsidRDefault="00333D5B" w:rsidP="00121D98">
            <w:pPr>
              <w:pStyle w:val="ListParagraph"/>
              <w:rPr>
                <w:rFonts w:ascii="Arial" w:hAnsi="Arial" w:cs="Arial"/>
                <w:bCs/>
                <w:iCs/>
                <w:sz w:val="24"/>
              </w:rPr>
            </w:pPr>
          </w:p>
          <w:p w14:paraId="74EC534D" w14:textId="77777777" w:rsidR="00F01F60" w:rsidRPr="00B63086" w:rsidRDefault="00121D98" w:rsidP="00E93717">
            <w:pPr>
              <w:pStyle w:val="ListParagraph"/>
              <w:ind w:left="0"/>
              <w:jc w:val="both"/>
              <w:rPr>
                <w:rFonts w:ascii="Arial" w:hAnsi="Arial" w:cs="Arial"/>
                <w:bCs/>
                <w:iCs/>
                <w:sz w:val="24"/>
              </w:rPr>
            </w:pPr>
            <w:r w:rsidRPr="00B63086">
              <w:rPr>
                <w:rFonts w:ascii="Arial" w:hAnsi="Arial" w:cs="Arial"/>
                <w:bCs/>
                <w:iCs/>
                <w:sz w:val="24"/>
              </w:rPr>
              <w:t xml:space="preserve">In addition to the Risk Considerations disclosed in the Information Memorandum which are risks factors pertaining to the </w:t>
            </w:r>
            <w:r w:rsidR="009C432D" w:rsidRPr="00B63086">
              <w:rPr>
                <w:rFonts w:ascii="Arial" w:hAnsi="Arial" w:cs="Arial"/>
                <w:bCs/>
                <w:iCs/>
                <w:sz w:val="24"/>
              </w:rPr>
              <w:t>Venture</w:t>
            </w:r>
            <w:r w:rsidRPr="00B63086">
              <w:rPr>
                <w:rFonts w:ascii="Arial" w:hAnsi="Arial" w:cs="Arial"/>
                <w:bCs/>
                <w:iCs/>
                <w:sz w:val="24"/>
              </w:rPr>
              <w:t xml:space="preserve">, </w:t>
            </w:r>
            <w:r w:rsidR="009C432D" w:rsidRPr="00B63086">
              <w:rPr>
                <w:rFonts w:ascii="Arial" w:hAnsi="Arial" w:cs="Arial"/>
                <w:bCs/>
                <w:iCs/>
                <w:sz w:val="24"/>
              </w:rPr>
              <w:t xml:space="preserve">the </w:t>
            </w:r>
            <w:r w:rsidRPr="00B63086">
              <w:rPr>
                <w:rFonts w:ascii="Arial" w:hAnsi="Arial" w:cs="Arial"/>
                <w:bCs/>
                <w:iCs/>
                <w:sz w:val="24"/>
              </w:rPr>
              <w:t>IAH</w:t>
            </w:r>
            <w:r w:rsidR="0084485C">
              <w:rPr>
                <w:rFonts w:ascii="Arial" w:hAnsi="Arial" w:cs="Arial"/>
                <w:bCs/>
                <w:iCs/>
                <w:sz w:val="24"/>
              </w:rPr>
              <w:t>(s)</w:t>
            </w:r>
            <w:r w:rsidRPr="00B63086">
              <w:rPr>
                <w:rFonts w:ascii="Arial" w:hAnsi="Arial" w:cs="Arial"/>
                <w:bCs/>
                <w:iCs/>
                <w:sz w:val="24"/>
              </w:rPr>
              <w:t xml:space="preserve"> may also be exposed to the following risks:</w:t>
            </w:r>
            <w:r w:rsidR="00E93717">
              <w:rPr>
                <w:rFonts w:ascii="Arial" w:hAnsi="Arial" w:cs="Arial"/>
                <w:bCs/>
                <w:iCs/>
                <w:sz w:val="24"/>
              </w:rPr>
              <w:t>-</w:t>
            </w:r>
            <w:r w:rsidRPr="00B63086">
              <w:rPr>
                <w:rFonts w:ascii="Arial" w:hAnsi="Arial" w:cs="Arial"/>
                <w:bCs/>
                <w:iCs/>
                <w:sz w:val="24"/>
              </w:rPr>
              <w:t xml:space="preserve">   </w:t>
            </w:r>
            <w:r w:rsidR="00F01F60" w:rsidRPr="00B63086">
              <w:rPr>
                <w:rFonts w:ascii="Arial" w:hAnsi="Arial" w:cs="Arial"/>
                <w:bCs/>
                <w:iCs/>
                <w:sz w:val="24"/>
              </w:rPr>
              <w:t xml:space="preserve">   </w:t>
            </w:r>
          </w:p>
          <w:p w14:paraId="2944B91E" w14:textId="77777777" w:rsidR="00F01F60" w:rsidRPr="00B63086" w:rsidRDefault="00F01F60" w:rsidP="00B63086">
            <w:pPr>
              <w:pStyle w:val="ListParagraph"/>
              <w:ind w:left="360"/>
              <w:jc w:val="both"/>
              <w:rPr>
                <w:rFonts w:ascii="Arial" w:hAnsi="Arial" w:cs="Arial"/>
                <w:bCs/>
                <w:iCs/>
                <w:sz w:val="24"/>
              </w:rPr>
            </w:pPr>
            <w:r w:rsidRPr="00B63086">
              <w:rPr>
                <w:rFonts w:ascii="Arial" w:hAnsi="Arial" w:cs="Arial"/>
                <w:bCs/>
                <w:iCs/>
                <w:sz w:val="24"/>
              </w:rPr>
              <w:t xml:space="preserve">   </w:t>
            </w:r>
          </w:p>
          <w:p w14:paraId="4C7E8F63" w14:textId="77777777" w:rsidR="00F01F60" w:rsidRPr="00B63086" w:rsidRDefault="00F01F60" w:rsidP="00E93717">
            <w:pPr>
              <w:pStyle w:val="ListParagraph"/>
              <w:numPr>
                <w:ilvl w:val="0"/>
                <w:numId w:val="3"/>
              </w:numPr>
              <w:ind w:left="540" w:hanging="540"/>
              <w:jc w:val="both"/>
              <w:rPr>
                <w:rFonts w:ascii="Arial" w:hAnsi="Arial" w:cs="Arial"/>
                <w:bCs/>
                <w:iCs/>
                <w:sz w:val="24"/>
              </w:rPr>
            </w:pPr>
            <w:r w:rsidRPr="00B63086">
              <w:rPr>
                <w:rFonts w:ascii="Arial" w:hAnsi="Arial" w:cs="Arial"/>
                <w:b/>
                <w:bCs/>
                <w:iCs/>
                <w:sz w:val="24"/>
              </w:rPr>
              <w:t>Market risk</w:t>
            </w:r>
            <w:r w:rsidRPr="00B63086">
              <w:rPr>
                <w:rFonts w:ascii="Arial" w:hAnsi="Arial" w:cs="Arial"/>
                <w:bCs/>
                <w:iCs/>
                <w:sz w:val="24"/>
              </w:rPr>
              <w:t>:</w:t>
            </w:r>
            <w:r w:rsidR="009C432D" w:rsidRPr="00B63086">
              <w:rPr>
                <w:rFonts w:ascii="Arial" w:hAnsi="Arial" w:cs="Arial"/>
                <w:bCs/>
                <w:iCs/>
                <w:sz w:val="24"/>
              </w:rPr>
              <w:t xml:space="preserve"> Marke</w:t>
            </w:r>
            <w:r w:rsidR="007C427B">
              <w:rPr>
                <w:rFonts w:ascii="Arial" w:hAnsi="Arial" w:cs="Arial"/>
                <w:bCs/>
                <w:iCs/>
                <w:sz w:val="24"/>
              </w:rPr>
              <w:t>t</w:t>
            </w:r>
            <w:r w:rsidR="009C432D" w:rsidRPr="00B63086">
              <w:rPr>
                <w:rFonts w:ascii="Arial" w:hAnsi="Arial" w:cs="Arial"/>
                <w:bCs/>
                <w:iCs/>
                <w:sz w:val="24"/>
              </w:rPr>
              <w:t xml:space="preserve"> risk is the risk of loss arising from adverse market rates or </w:t>
            </w:r>
            <w:r w:rsidR="004708C1" w:rsidRPr="00B63086">
              <w:rPr>
                <w:rFonts w:ascii="Arial" w:hAnsi="Arial" w:cs="Arial"/>
                <w:bCs/>
                <w:iCs/>
                <w:sz w:val="24"/>
              </w:rPr>
              <w:t>price movements (</w:t>
            </w:r>
            <w:r w:rsidRPr="00B63086">
              <w:rPr>
                <w:rFonts w:ascii="Arial" w:hAnsi="Arial" w:cs="Arial"/>
                <w:bCs/>
                <w:iCs/>
                <w:sz w:val="24"/>
              </w:rPr>
              <w:t xml:space="preserve">e.g. profit rate, foreign exchange rates or </w:t>
            </w:r>
            <w:r w:rsidR="004708C1" w:rsidRPr="00B63086">
              <w:rPr>
                <w:rFonts w:ascii="Arial" w:hAnsi="Arial" w:cs="Arial"/>
                <w:bCs/>
                <w:iCs/>
                <w:sz w:val="24"/>
              </w:rPr>
              <w:t>equity prices, where applicable</w:t>
            </w:r>
            <w:r w:rsidRPr="00B63086">
              <w:rPr>
                <w:rFonts w:ascii="Arial" w:hAnsi="Arial" w:cs="Arial"/>
                <w:bCs/>
                <w:iCs/>
                <w:sz w:val="24"/>
              </w:rPr>
              <w:t>)</w:t>
            </w:r>
            <w:r w:rsidR="00BD0B18" w:rsidRPr="00B63086">
              <w:rPr>
                <w:rFonts w:ascii="Arial" w:hAnsi="Arial" w:cs="Arial"/>
                <w:bCs/>
                <w:iCs/>
                <w:sz w:val="24"/>
              </w:rPr>
              <w:t xml:space="preserve">. There is possibility </w:t>
            </w:r>
            <w:r w:rsidR="00676AEA" w:rsidRPr="00B63086">
              <w:rPr>
                <w:rFonts w:ascii="Arial" w:hAnsi="Arial" w:cs="Arial"/>
                <w:bCs/>
                <w:iCs/>
                <w:sz w:val="24"/>
                <w:szCs w:val="24"/>
              </w:rPr>
              <w:t>for the IAH</w:t>
            </w:r>
            <w:r w:rsidR="00E93717">
              <w:rPr>
                <w:rFonts w:ascii="Arial" w:hAnsi="Arial" w:cs="Arial"/>
                <w:bCs/>
                <w:iCs/>
                <w:sz w:val="24"/>
                <w:szCs w:val="24"/>
              </w:rPr>
              <w:t>(s)</w:t>
            </w:r>
            <w:r w:rsidR="00676AEA" w:rsidRPr="00B63086">
              <w:rPr>
                <w:rFonts w:ascii="Arial" w:hAnsi="Arial" w:cs="Arial"/>
                <w:bCs/>
                <w:iCs/>
                <w:sz w:val="24"/>
                <w:szCs w:val="24"/>
              </w:rPr>
              <w:t xml:space="preserve"> to experience losses due to various factors that affect the overall performance of the financial markets</w:t>
            </w:r>
            <w:r w:rsidRPr="00B63086">
              <w:rPr>
                <w:rFonts w:ascii="Arial" w:hAnsi="Arial" w:cs="Arial"/>
                <w:bCs/>
                <w:iCs/>
                <w:sz w:val="24"/>
              </w:rPr>
              <w:t>;</w:t>
            </w:r>
          </w:p>
          <w:p w14:paraId="2E4F9A7D" w14:textId="77777777" w:rsidR="00676AEA" w:rsidRPr="00B63086" w:rsidRDefault="00676AEA" w:rsidP="00E93717">
            <w:pPr>
              <w:pStyle w:val="ListParagraph"/>
              <w:ind w:left="540" w:hanging="540"/>
              <w:jc w:val="both"/>
              <w:rPr>
                <w:rFonts w:ascii="Arial" w:hAnsi="Arial" w:cs="Arial"/>
                <w:bCs/>
                <w:iCs/>
                <w:sz w:val="24"/>
              </w:rPr>
            </w:pPr>
          </w:p>
          <w:p w14:paraId="3EE678DD" w14:textId="77777777" w:rsidR="003D2571" w:rsidRPr="00B63086" w:rsidRDefault="00F01F60" w:rsidP="002E75C7">
            <w:pPr>
              <w:pStyle w:val="ListParagraph"/>
              <w:numPr>
                <w:ilvl w:val="0"/>
                <w:numId w:val="3"/>
              </w:numPr>
              <w:tabs>
                <w:tab w:val="left" w:pos="3768"/>
              </w:tabs>
              <w:ind w:left="540" w:hanging="540"/>
              <w:jc w:val="both"/>
              <w:rPr>
                <w:rFonts w:ascii="Arial" w:hAnsi="Arial" w:cs="Arial"/>
                <w:bCs/>
                <w:iCs/>
                <w:sz w:val="24"/>
              </w:rPr>
            </w:pPr>
            <w:r w:rsidRPr="00B63086">
              <w:rPr>
                <w:rFonts w:ascii="Arial" w:hAnsi="Arial" w:cs="Arial"/>
                <w:b/>
                <w:bCs/>
                <w:iCs/>
                <w:sz w:val="24"/>
              </w:rPr>
              <w:t>Credit risk:</w:t>
            </w:r>
            <w:r w:rsidRPr="00B63086">
              <w:rPr>
                <w:rFonts w:ascii="Arial" w:hAnsi="Arial" w:cs="Arial"/>
                <w:bCs/>
                <w:iCs/>
                <w:sz w:val="24"/>
              </w:rPr>
              <w:t xml:space="preserve"> </w:t>
            </w:r>
            <w:r w:rsidR="00676AEA" w:rsidRPr="00B63086">
              <w:rPr>
                <w:rFonts w:ascii="Arial" w:hAnsi="Arial" w:cs="Arial"/>
                <w:bCs/>
                <w:iCs/>
                <w:sz w:val="24"/>
              </w:rPr>
              <w:t xml:space="preserve">This RIA is exposed to risks related to the Venture. </w:t>
            </w:r>
            <w:r w:rsidR="00676AEA" w:rsidRPr="00B63086">
              <w:rPr>
                <w:rFonts w:ascii="Arial" w:hAnsi="Arial" w:cs="Arial"/>
                <w:bCs/>
                <w:iCs/>
                <w:sz w:val="24"/>
                <w:szCs w:val="24"/>
              </w:rPr>
              <w:t xml:space="preserve">Credit risk is the potential loss of investment return as a result of failure by the Venture to meet its financial obligations under the </w:t>
            </w:r>
            <w:r w:rsidR="002E75C7">
              <w:rPr>
                <w:rFonts w:ascii="Arial" w:hAnsi="Arial" w:cs="Arial"/>
                <w:bCs/>
                <w:iCs/>
                <w:sz w:val="24"/>
                <w:szCs w:val="24"/>
              </w:rPr>
              <w:t>F</w:t>
            </w:r>
            <w:r w:rsidR="00676AEA" w:rsidRPr="00B63086">
              <w:rPr>
                <w:rFonts w:ascii="Arial" w:hAnsi="Arial" w:cs="Arial"/>
                <w:bCs/>
                <w:iCs/>
                <w:sz w:val="24"/>
                <w:szCs w:val="24"/>
              </w:rPr>
              <w:t>inancing</w:t>
            </w:r>
            <w:r w:rsidR="003D2571" w:rsidRPr="00B63086">
              <w:rPr>
                <w:rFonts w:ascii="Arial" w:hAnsi="Arial" w:cs="Arial"/>
                <w:bCs/>
                <w:iCs/>
                <w:sz w:val="24"/>
              </w:rPr>
              <w:t>;</w:t>
            </w:r>
          </w:p>
          <w:p w14:paraId="2AB78CC1" w14:textId="77777777" w:rsidR="00F01F60" w:rsidRPr="00B63086" w:rsidRDefault="00F01F60" w:rsidP="00E93717">
            <w:pPr>
              <w:pStyle w:val="ListParagraph"/>
              <w:ind w:left="540" w:hanging="540"/>
              <w:jc w:val="both"/>
              <w:rPr>
                <w:rFonts w:ascii="Arial" w:hAnsi="Arial" w:cs="Arial"/>
                <w:bCs/>
                <w:iCs/>
                <w:sz w:val="24"/>
              </w:rPr>
            </w:pPr>
          </w:p>
          <w:p w14:paraId="5E9F931D" w14:textId="77777777" w:rsidR="00F01F60" w:rsidRPr="00B63086" w:rsidRDefault="00F01F60" w:rsidP="00E93717">
            <w:pPr>
              <w:pStyle w:val="ListParagraph"/>
              <w:numPr>
                <w:ilvl w:val="0"/>
                <w:numId w:val="3"/>
              </w:numPr>
              <w:ind w:left="540" w:hanging="540"/>
              <w:jc w:val="both"/>
              <w:rPr>
                <w:rFonts w:ascii="Arial" w:hAnsi="Arial" w:cs="Arial"/>
                <w:bCs/>
                <w:iCs/>
                <w:sz w:val="24"/>
              </w:rPr>
            </w:pPr>
            <w:r w:rsidRPr="00B63086">
              <w:rPr>
                <w:rFonts w:ascii="Arial" w:hAnsi="Arial" w:cs="Arial"/>
                <w:b/>
                <w:bCs/>
                <w:iCs/>
                <w:sz w:val="24"/>
              </w:rPr>
              <w:t>Liquidity risk:</w:t>
            </w:r>
            <w:r w:rsidR="00C50A9E" w:rsidRPr="00B63086">
              <w:rPr>
                <w:rFonts w:ascii="Arial" w:hAnsi="Arial" w:cs="Arial"/>
                <w:b/>
                <w:bCs/>
                <w:iCs/>
                <w:sz w:val="24"/>
              </w:rPr>
              <w:t xml:space="preserve"> </w:t>
            </w:r>
            <w:r w:rsidR="00C50A9E" w:rsidRPr="00B63086">
              <w:rPr>
                <w:rFonts w:ascii="Arial" w:hAnsi="Arial" w:cs="Arial"/>
                <w:bCs/>
                <w:iCs/>
                <w:sz w:val="24"/>
                <w:szCs w:val="24"/>
              </w:rPr>
              <w:t>This RIA is non-transferable and non-tradable investment product. Hence it carries the risk stemming from the lack of marketability of an investment that cannot be bought or sold quickly enough to prevent or minimise a loss or optimise any gain;</w:t>
            </w:r>
          </w:p>
          <w:p w14:paraId="2ADBB8EC" w14:textId="77777777" w:rsidR="00AB1521" w:rsidRPr="00B63086" w:rsidRDefault="00AB1521" w:rsidP="00E93717">
            <w:pPr>
              <w:pStyle w:val="ListParagraph"/>
              <w:ind w:left="540" w:hanging="540"/>
              <w:jc w:val="both"/>
              <w:rPr>
                <w:rFonts w:ascii="Arial" w:hAnsi="Arial" w:cs="Arial"/>
                <w:bCs/>
                <w:iCs/>
                <w:sz w:val="24"/>
              </w:rPr>
            </w:pPr>
          </w:p>
          <w:p w14:paraId="4A51F31A" w14:textId="77777777" w:rsidR="00FF08C7" w:rsidRPr="00B63086" w:rsidRDefault="00F01F60" w:rsidP="00E93717">
            <w:pPr>
              <w:pStyle w:val="ListParagraph"/>
              <w:numPr>
                <w:ilvl w:val="0"/>
                <w:numId w:val="3"/>
              </w:numPr>
              <w:ind w:left="540" w:hanging="540"/>
              <w:jc w:val="both"/>
              <w:rPr>
                <w:rFonts w:ascii="Arial" w:hAnsi="Arial" w:cs="Arial"/>
                <w:bCs/>
                <w:iCs/>
                <w:sz w:val="24"/>
              </w:rPr>
            </w:pPr>
            <w:r w:rsidRPr="00B63086">
              <w:rPr>
                <w:rFonts w:ascii="Arial" w:hAnsi="Arial" w:cs="Arial"/>
                <w:b/>
                <w:bCs/>
                <w:iCs/>
                <w:sz w:val="24"/>
              </w:rPr>
              <w:t>Operational risk:</w:t>
            </w:r>
            <w:r w:rsidRPr="00B63086">
              <w:rPr>
                <w:rFonts w:ascii="Arial" w:hAnsi="Arial" w:cs="Arial"/>
                <w:bCs/>
                <w:iCs/>
                <w:sz w:val="24"/>
              </w:rPr>
              <w:t xml:space="preserve"> </w:t>
            </w:r>
            <w:r w:rsidR="00FF08C7" w:rsidRPr="00B63086">
              <w:rPr>
                <w:rFonts w:ascii="Arial" w:hAnsi="Arial" w:cs="Arial"/>
                <w:bCs/>
                <w:iCs/>
                <w:sz w:val="24"/>
                <w:szCs w:val="24"/>
              </w:rPr>
              <w:t xml:space="preserve">Operational risk is the risk of loss resulting from the Bank’s inadequate or failed internal processes, people and systems or external events, Although </w:t>
            </w:r>
            <w:r w:rsidR="00FF08C7" w:rsidRPr="00B63086">
              <w:rPr>
                <w:rFonts w:ascii="Arial" w:hAnsi="Arial" w:cs="Arial"/>
                <w:sz w:val="24"/>
                <w:szCs w:val="24"/>
              </w:rPr>
              <w:t>the Bank has implemented risk controls in developing efficient procedures, it is not possible to entirely eliminate operational risk</w:t>
            </w:r>
            <w:r w:rsidR="00FF08C7" w:rsidRPr="00B63086">
              <w:rPr>
                <w:rFonts w:ascii="Arial" w:hAnsi="Arial" w:cs="Arial"/>
                <w:bCs/>
                <w:iCs/>
                <w:sz w:val="24"/>
                <w:szCs w:val="24"/>
              </w:rPr>
              <w:t>; and</w:t>
            </w:r>
          </w:p>
          <w:p w14:paraId="44E7FD38" w14:textId="77777777" w:rsidR="00FF08C7" w:rsidRPr="00B63086" w:rsidRDefault="00FF08C7" w:rsidP="00E93717">
            <w:pPr>
              <w:pStyle w:val="ListParagraph"/>
              <w:ind w:left="540" w:hanging="540"/>
              <w:jc w:val="both"/>
              <w:rPr>
                <w:rFonts w:ascii="Arial" w:hAnsi="Arial" w:cs="Arial"/>
                <w:bCs/>
                <w:iCs/>
                <w:sz w:val="24"/>
              </w:rPr>
            </w:pPr>
          </w:p>
          <w:p w14:paraId="12EA1FD8" w14:textId="77777777" w:rsidR="00D446A3" w:rsidRPr="00B63086" w:rsidRDefault="00F01F60" w:rsidP="00E93717">
            <w:pPr>
              <w:pStyle w:val="ListParagraph"/>
              <w:numPr>
                <w:ilvl w:val="0"/>
                <w:numId w:val="3"/>
              </w:numPr>
              <w:ind w:left="540" w:hanging="540"/>
              <w:jc w:val="both"/>
              <w:rPr>
                <w:rFonts w:ascii="Arial" w:hAnsi="Arial" w:cs="Arial"/>
                <w:bCs/>
                <w:iCs/>
                <w:sz w:val="24"/>
              </w:rPr>
            </w:pPr>
            <w:r w:rsidRPr="00B63086">
              <w:rPr>
                <w:rFonts w:ascii="Arial" w:hAnsi="Arial" w:cs="Arial"/>
                <w:b/>
                <w:bCs/>
                <w:iCs/>
                <w:sz w:val="24"/>
              </w:rPr>
              <w:t>Legal risk:</w:t>
            </w:r>
            <w:r w:rsidRPr="00B63086">
              <w:rPr>
                <w:rFonts w:ascii="Arial" w:hAnsi="Arial" w:cs="Arial"/>
                <w:bCs/>
                <w:iCs/>
                <w:sz w:val="24"/>
              </w:rPr>
              <w:t xml:space="preserve"> IAH</w:t>
            </w:r>
            <w:r w:rsidR="00E93717">
              <w:rPr>
                <w:rFonts w:ascii="Arial" w:hAnsi="Arial" w:cs="Arial"/>
                <w:bCs/>
                <w:iCs/>
                <w:sz w:val="24"/>
              </w:rPr>
              <w:t>(s)</w:t>
            </w:r>
            <w:r w:rsidRPr="00B63086">
              <w:rPr>
                <w:rFonts w:ascii="Arial" w:hAnsi="Arial" w:cs="Arial"/>
                <w:bCs/>
                <w:iCs/>
                <w:sz w:val="24"/>
              </w:rPr>
              <w:t xml:space="preserve"> should ensure that, in entering into this investment</w:t>
            </w:r>
            <w:r w:rsidR="00E93717">
              <w:rPr>
                <w:rFonts w:ascii="Arial" w:hAnsi="Arial" w:cs="Arial"/>
                <w:bCs/>
                <w:iCs/>
                <w:sz w:val="24"/>
              </w:rPr>
              <w:t>,</w:t>
            </w:r>
            <w:r w:rsidRPr="00B63086">
              <w:rPr>
                <w:rFonts w:ascii="Arial" w:hAnsi="Arial" w:cs="Arial"/>
                <w:bCs/>
                <w:iCs/>
                <w:sz w:val="24"/>
              </w:rPr>
              <w:t xml:space="preserve"> it is not in breach of any laws, regulations, contractual or any other legal limitations that may apply to </w:t>
            </w:r>
            <w:r w:rsidR="002E75C7">
              <w:rPr>
                <w:rFonts w:ascii="Arial" w:hAnsi="Arial" w:cs="Arial"/>
                <w:bCs/>
                <w:iCs/>
                <w:sz w:val="24"/>
              </w:rPr>
              <w:t>the IAH(s)</w:t>
            </w:r>
            <w:r w:rsidRPr="00B63086">
              <w:rPr>
                <w:rFonts w:ascii="Arial" w:hAnsi="Arial" w:cs="Arial"/>
                <w:bCs/>
                <w:iCs/>
                <w:sz w:val="24"/>
              </w:rPr>
              <w:t>. This investment is issued subject to all applicable laws, regulations and guidelines. In the event of change in such laws, regulations or guidelines, Bank Islam may be obliged to change some or all the terms and conditions of the investment, including the possibility of an early termination.</w:t>
            </w:r>
          </w:p>
          <w:p w14:paraId="3AD4546C" w14:textId="77777777" w:rsidR="00FF08C7" w:rsidRPr="00B63086" w:rsidRDefault="00FF08C7" w:rsidP="00712E62">
            <w:pPr>
              <w:rPr>
                <w:rFonts w:ascii="Arial" w:hAnsi="Arial" w:cs="Arial"/>
                <w:sz w:val="24"/>
              </w:rPr>
            </w:pPr>
          </w:p>
        </w:tc>
      </w:tr>
      <w:tr w:rsidR="00B76610" w:rsidRPr="00B63086" w14:paraId="230FC30F" w14:textId="77777777" w:rsidTr="00062F27">
        <w:tc>
          <w:tcPr>
            <w:tcW w:w="9812" w:type="dxa"/>
            <w:shd w:val="clear" w:color="auto" w:fill="000000"/>
          </w:tcPr>
          <w:p w14:paraId="5FE303A5" w14:textId="77777777" w:rsidR="001C73D7" w:rsidRPr="00B63086" w:rsidRDefault="007C427B" w:rsidP="00B63086">
            <w:pPr>
              <w:pStyle w:val="ListParagraph"/>
              <w:spacing w:before="120" w:after="120"/>
              <w:ind w:left="0"/>
              <w:rPr>
                <w:rFonts w:ascii="Arial" w:hAnsi="Arial" w:cs="Arial"/>
                <w:b/>
                <w:sz w:val="24"/>
              </w:rPr>
            </w:pPr>
            <w:r w:rsidRPr="00B63086">
              <w:rPr>
                <w:rFonts w:ascii="Arial" w:hAnsi="Arial" w:cs="Arial"/>
                <w:b/>
                <w:sz w:val="24"/>
              </w:rPr>
              <w:t>5.</w:t>
            </w:r>
            <w:r w:rsidR="00E128B5" w:rsidRPr="00B63086">
              <w:rPr>
                <w:rFonts w:ascii="Arial" w:hAnsi="Arial" w:cs="Arial"/>
                <w:b/>
                <w:sz w:val="24"/>
              </w:rPr>
              <w:t xml:space="preserve">   </w:t>
            </w:r>
            <w:r w:rsidR="00EC3786" w:rsidRPr="00B63086">
              <w:rPr>
                <w:rFonts w:ascii="Arial" w:hAnsi="Arial" w:cs="Arial"/>
                <w:b/>
                <w:sz w:val="24"/>
              </w:rPr>
              <w:t>FEES AND CHARGES</w:t>
            </w:r>
          </w:p>
        </w:tc>
      </w:tr>
      <w:tr w:rsidR="00AD7AC3" w:rsidRPr="00B63086" w14:paraId="528D507B" w14:textId="77777777" w:rsidTr="00062F27">
        <w:tc>
          <w:tcPr>
            <w:tcW w:w="9812" w:type="dxa"/>
            <w:shd w:val="clear" w:color="auto" w:fill="auto"/>
          </w:tcPr>
          <w:p w14:paraId="2EBAE26E" w14:textId="77777777" w:rsidR="00245758" w:rsidRPr="00245758" w:rsidRDefault="00245758" w:rsidP="00245758">
            <w:pPr>
              <w:spacing w:before="120" w:after="120"/>
              <w:rPr>
                <w:rFonts w:ascii="Arial" w:hAnsi="Arial" w:cs="Arial"/>
                <w:sz w:val="12"/>
              </w:rPr>
            </w:pPr>
          </w:p>
        </w:tc>
      </w:tr>
      <w:tr w:rsidR="0028029E" w:rsidRPr="00B63086" w14:paraId="6E65C788" w14:textId="77777777" w:rsidTr="00062F27">
        <w:tc>
          <w:tcPr>
            <w:tcW w:w="9812" w:type="dxa"/>
            <w:shd w:val="clear" w:color="auto" w:fill="000000"/>
          </w:tcPr>
          <w:p w14:paraId="12555335" w14:textId="77777777" w:rsidR="001C73D7" w:rsidRPr="00B63086" w:rsidRDefault="00EC3786" w:rsidP="00B63086">
            <w:pPr>
              <w:spacing w:before="120" w:after="120"/>
              <w:rPr>
                <w:rFonts w:ascii="Arial" w:hAnsi="Arial" w:cs="Arial"/>
                <w:b/>
                <w:i/>
                <w:iCs/>
                <w:color w:val="404040"/>
                <w:sz w:val="24"/>
              </w:rPr>
            </w:pPr>
            <w:r w:rsidRPr="00B63086">
              <w:rPr>
                <w:rFonts w:ascii="Arial" w:hAnsi="Arial" w:cs="Arial"/>
                <w:b/>
                <w:sz w:val="24"/>
              </w:rPr>
              <w:t>What are the fees and charges involved?</w:t>
            </w:r>
          </w:p>
        </w:tc>
      </w:tr>
      <w:tr w:rsidR="0028029E" w:rsidRPr="00B63086" w14:paraId="4FEBA2A2" w14:textId="77777777" w:rsidTr="00062F27">
        <w:tc>
          <w:tcPr>
            <w:tcW w:w="9812" w:type="dxa"/>
          </w:tcPr>
          <w:p w14:paraId="51A49DD9" w14:textId="77777777" w:rsidR="00245758" w:rsidRPr="00245758" w:rsidRDefault="00245758" w:rsidP="00245758">
            <w:pPr>
              <w:rPr>
                <w:rFonts w:ascii="Arial" w:hAnsi="Arial" w:cs="Arial"/>
                <w:sz w:val="24"/>
              </w:rPr>
            </w:pPr>
          </w:p>
          <w:tbl>
            <w:tblPr>
              <w:tblW w:w="9620" w:type="dxa"/>
              <w:tblLayout w:type="fixed"/>
              <w:tblCellMar>
                <w:left w:w="0" w:type="dxa"/>
                <w:right w:w="0" w:type="dxa"/>
              </w:tblCellMar>
              <w:tblLook w:val="04A0" w:firstRow="1" w:lastRow="0" w:firstColumn="1" w:lastColumn="0" w:noHBand="0" w:noVBand="1"/>
            </w:tblPr>
            <w:tblGrid>
              <w:gridCol w:w="620"/>
              <w:gridCol w:w="4534"/>
              <w:gridCol w:w="4466"/>
            </w:tblGrid>
            <w:tr w:rsidR="00525EAB" w:rsidRPr="00B63086" w14:paraId="778AE2D8" w14:textId="77777777" w:rsidTr="00333D5B">
              <w:trPr>
                <w:trHeight w:val="49"/>
              </w:trPr>
              <w:tc>
                <w:tcPr>
                  <w:tcW w:w="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8" w:type="dxa"/>
                    <w:left w:w="73" w:type="dxa"/>
                    <w:bottom w:w="0" w:type="dxa"/>
                    <w:right w:w="73" w:type="dxa"/>
                  </w:tcMar>
                  <w:hideMark/>
                </w:tcPr>
                <w:p w14:paraId="334867F9" w14:textId="77777777" w:rsidR="00525EAB" w:rsidRPr="00B63086" w:rsidRDefault="00525EAB" w:rsidP="00333D5B">
                  <w:pPr>
                    <w:spacing w:before="120" w:after="120"/>
                    <w:jc w:val="center"/>
                    <w:textAlignment w:val="baseline"/>
                    <w:rPr>
                      <w:rFonts w:ascii="Arial" w:hAnsi="Arial" w:cs="Arial"/>
                      <w:sz w:val="24"/>
                      <w:szCs w:val="24"/>
                    </w:rPr>
                  </w:pPr>
                  <w:r w:rsidRPr="00251ED2">
                    <w:rPr>
                      <w:rFonts w:ascii="Arial" w:eastAsia="Calibri" w:hAnsi="Arial" w:cs="Arial"/>
                      <w:b/>
                      <w:bCs/>
                      <w:kern w:val="24"/>
                      <w:sz w:val="24"/>
                      <w:szCs w:val="24"/>
                      <w:lang w:val="en-MY"/>
                    </w:rPr>
                    <w:t>No</w:t>
                  </w:r>
                  <w:r w:rsidR="00E93717">
                    <w:rPr>
                      <w:rFonts w:ascii="Arial" w:eastAsia="Calibri" w:hAnsi="Arial" w:cs="Arial"/>
                      <w:b/>
                      <w:bCs/>
                      <w:kern w:val="24"/>
                      <w:sz w:val="24"/>
                      <w:szCs w:val="24"/>
                      <w:lang w:val="en-MY"/>
                    </w:rPr>
                    <w:t>.</w:t>
                  </w:r>
                </w:p>
              </w:tc>
              <w:tc>
                <w:tcPr>
                  <w:tcW w:w="45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8" w:type="dxa"/>
                    <w:left w:w="73" w:type="dxa"/>
                    <w:bottom w:w="0" w:type="dxa"/>
                    <w:right w:w="73" w:type="dxa"/>
                  </w:tcMar>
                  <w:hideMark/>
                </w:tcPr>
                <w:p w14:paraId="7BC982A3" w14:textId="77777777" w:rsidR="00525EAB" w:rsidRPr="00B63086" w:rsidRDefault="00525EAB" w:rsidP="00333D5B">
                  <w:pPr>
                    <w:spacing w:before="120" w:after="120"/>
                    <w:jc w:val="center"/>
                    <w:textAlignment w:val="baseline"/>
                    <w:rPr>
                      <w:rFonts w:ascii="Arial" w:hAnsi="Arial" w:cs="Arial"/>
                      <w:sz w:val="24"/>
                      <w:szCs w:val="24"/>
                    </w:rPr>
                  </w:pPr>
                  <w:r w:rsidRPr="00251ED2">
                    <w:rPr>
                      <w:rFonts w:ascii="Arial" w:eastAsia="Calibri" w:hAnsi="Arial" w:cs="Arial"/>
                      <w:b/>
                      <w:bCs/>
                      <w:kern w:val="24"/>
                      <w:sz w:val="24"/>
                      <w:szCs w:val="24"/>
                      <w:lang w:val="en-MY"/>
                    </w:rPr>
                    <w:t>Items</w:t>
                  </w:r>
                </w:p>
              </w:tc>
              <w:tc>
                <w:tcPr>
                  <w:tcW w:w="44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8" w:type="dxa"/>
                    <w:left w:w="73" w:type="dxa"/>
                    <w:bottom w:w="0" w:type="dxa"/>
                    <w:right w:w="73" w:type="dxa"/>
                  </w:tcMar>
                  <w:hideMark/>
                </w:tcPr>
                <w:p w14:paraId="7CA5967B" w14:textId="77777777" w:rsidR="00525EAB" w:rsidRPr="00B63086" w:rsidRDefault="00525EAB" w:rsidP="00333D5B">
                  <w:pPr>
                    <w:spacing w:before="120" w:after="120"/>
                    <w:jc w:val="center"/>
                    <w:textAlignment w:val="baseline"/>
                    <w:rPr>
                      <w:rFonts w:ascii="Arial" w:hAnsi="Arial" w:cs="Arial"/>
                      <w:sz w:val="24"/>
                      <w:szCs w:val="24"/>
                    </w:rPr>
                  </w:pPr>
                  <w:r w:rsidRPr="00251ED2">
                    <w:rPr>
                      <w:rFonts w:ascii="Arial" w:eastAsia="Calibri" w:hAnsi="Arial" w:cs="Arial"/>
                      <w:b/>
                      <w:bCs/>
                      <w:kern w:val="24"/>
                      <w:sz w:val="24"/>
                      <w:szCs w:val="24"/>
                      <w:lang w:val="en-MY"/>
                    </w:rPr>
                    <w:t>Range / Percentage / Amount</w:t>
                  </w:r>
                </w:p>
              </w:tc>
            </w:tr>
            <w:tr w:rsidR="00525EAB" w:rsidRPr="00B63086" w14:paraId="6D5107AB" w14:textId="77777777" w:rsidTr="00333D5B">
              <w:trPr>
                <w:trHeight w:val="49"/>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262D638B" w14:textId="77777777" w:rsidR="00525EAB" w:rsidRPr="00B63086" w:rsidRDefault="00525EAB" w:rsidP="00333D5B">
                  <w:pPr>
                    <w:spacing w:before="120" w:after="120"/>
                    <w:jc w:val="center"/>
                    <w:textAlignment w:val="baseline"/>
                    <w:rPr>
                      <w:rFonts w:ascii="Arial" w:hAnsi="Arial" w:cs="Arial"/>
                      <w:sz w:val="24"/>
                      <w:szCs w:val="24"/>
                    </w:rPr>
                  </w:pPr>
                  <w:r w:rsidRPr="00EF384C">
                    <w:rPr>
                      <w:rFonts w:ascii="Arial" w:eastAsia="Calibri" w:hAnsi="Arial" w:cs="Arial"/>
                      <w:bCs/>
                      <w:kern w:val="24"/>
                      <w:sz w:val="24"/>
                      <w:szCs w:val="24"/>
                      <w:lang w:val="en-MY"/>
                    </w:rPr>
                    <w:t>1</w:t>
                  </w:r>
                  <w:r w:rsidR="00E93717">
                    <w:rPr>
                      <w:rFonts w:ascii="Arial" w:eastAsia="Calibri" w:hAnsi="Arial" w:cs="Arial"/>
                      <w:bCs/>
                      <w:kern w:val="24"/>
                      <w:sz w:val="24"/>
                      <w:szCs w:val="24"/>
                      <w:lang w:val="en-MY"/>
                    </w:rPr>
                    <w:t>.</w:t>
                  </w:r>
                </w:p>
              </w:tc>
              <w:tc>
                <w:tcPr>
                  <w:tcW w:w="4534"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365094B4" w14:textId="77777777" w:rsidR="00525EAB" w:rsidRPr="00B63086" w:rsidRDefault="00525EAB" w:rsidP="00E93717">
                  <w:pPr>
                    <w:spacing w:before="120" w:after="120"/>
                    <w:textAlignment w:val="baseline"/>
                    <w:rPr>
                      <w:rFonts w:ascii="Arial" w:hAnsi="Arial" w:cs="Arial"/>
                      <w:sz w:val="24"/>
                      <w:szCs w:val="24"/>
                    </w:rPr>
                  </w:pPr>
                  <w:r w:rsidRPr="001A7BA2">
                    <w:rPr>
                      <w:rFonts w:ascii="Arial" w:eastAsia="Calibri" w:hAnsi="Arial" w:cs="Arial"/>
                      <w:bCs/>
                      <w:kern w:val="24"/>
                      <w:sz w:val="24"/>
                      <w:szCs w:val="24"/>
                      <w:lang w:val="en-MY"/>
                    </w:rPr>
                    <w:t xml:space="preserve">Wakalah fee </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4C6582A0" w14:textId="77777777" w:rsidR="00525EAB" w:rsidRPr="001A7BA2" w:rsidRDefault="004A4869" w:rsidP="000C2729">
                  <w:pPr>
                    <w:pStyle w:val="NormalWeb"/>
                    <w:spacing w:before="120" w:beforeAutospacing="0" w:after="120" w:afterAutospacing="0"/>
                    <w:jc w:val="both"/>
                    <w:textAlignment w:val="baseline"/>
                    <w:rPr>
                      <w:rFonts w:ascii="Arial" w:hAnsi="Arial" w:cs="Arial"/>
                    </w:rPr>
                  </w:pPr>
                  <w:r>
                    <w:rPr>
                      <w:rFonts w:ascii="Arial" w:eastAsia="Calibri" w:hAnsi="Arial" w:cs="Arial"/>
                      <w:kern w:val="24"/>
                      <w:lang w:val="en-MY"/>
                    </w:rPr>
                    <w:t>0.3</w:t>
                  </w:r>
                  <w:r w:rsidR="00E93717">
                    <w:rPr>
                      <w:rFonts w:ascii="Arial" w:eastAsia="Calibri" w:hAnsi="Arial" w:cs="Arial"/>
                      <w:kern w:val="24"/>
                      <w:lang w:val="en-MY"/>
                    </w:rPr>
                    <w:t>0</w:t>
                  </w:r>
                  <w:r w:rsidR="00525EAB" w:rsidRPr="001A7BA2">
                    <w:rPr>
                      <w:rFonts w:ascii="Arial" w:eastAsia="Calibri" w:hAnsi="Arial" w:cs="Arial"/>
                      <w:kern w:val="24"/>
                      <w:lang w:val="en-MY"/>
                    </w:rPr>
                    <w:t xml:space="preserve">% </w:t>
                  </w:r>
                  <w:r w:rsidR="00525EAB">
                    <w:rPr>
                      <w:rFonts w:ascii="Arial" w:eastAsia="Calibri" w:hAnsi="Arial" w:cs="Arial"/>
                      <w:kern w:val="24"/>
                      <w:lang w:val="en-MY"/>
                    </w:rPr>
                    <w:t>per annum</w:t>
                  </w:r>
                  <w:r w:rsidR="00525EAB" w:rsidRPr="001A7BA2">
                    <w:rPr>
                      <w:rFonts w:ascii="Arial" w:eastAsia="Calibri" w:hAnsi="Arial" w:cs="Arial"/>
                      <w:kern w:val="24"/>
                    </w:rPr>
                    <w:t xml:space="preserve"> </w:t>
                  </w:r>
                  <w:r w:rsidR="006E7655">
                    <w:rPr>
                      <w:rFonts w:ascii="Arial" w:eastAsia="Calibri" w:hAnsi="Arial" w:cs="Arial"/>
                      <w:kern w:val="24"/>
                    </w:rPr>
                    <w:t xml:space="preserve">based the outstanding </w:t>
                  </w:r>
                  <w:r w:rsidR="000C2729">
                    <w:rPr>
                      <w:rFonts w:ascii="Arial" w:eastAsia="Calibri" w:hAnsi="Arial" w:cs="Arial"/>
                      <w:kern w:val="24"/>
                    </w:rPr>
                    <w:t>T</w:t>
                  </w:r>
                  <w:r w:rsidR="006E7655">
                    <w:rPr>
                      <w:rFonts w:ascii="Arial" w:eastAsia="Calibri" w:hAnsi="Arial" w:cs="Arial"/>
                      <w:kern w:val="24"/>
                    </w:rPr>
                    <w:t xml:space="preserve">otal </w:t>
                  </w:r>
                  <w:r w:rsidR="000C2729">
                    <w:rPr>
                      <w:rFonts w:ascii="Arial" w:eastAsia="Calibri" w:hAnsi="Arial" w:cs="Arial"/>
                      <w:kern w:val="24"/>
                    </w:rPr>
                    <w:t>F</w:t>
                  </w:r>
                  <w:r w:rsidR="006E7655">
                    <w:rPr>
                      <w:rFonts w:ascii="Arial" w:eastAsia="Calibri" w:hAnsi="Arial" w:cs="Arial"/>
                      <w:kern w:val="24"/>
                    </w:rPr>
                    <w:t xml:space="preserve">und </w:t>
                  </w:r>
                  <w:r w:rsidR="000C2729">
                    <w:rPr>
                      <w:rFonts w:ascii="Arial" w:eastAsia="Calibri" w:hAnsi="Arial" w:cs="Arial"/>
                      <w:kern w:val="24"/>
                    </w:rPr>
                    <w:t>S</w:t>
                  </w:r>
                  <w:r w:rsidR="006E7655">
                    <w:rPr>
                      <w:rFonts w:ascii="Arial" w:eastAsia="Calibri" w:hAnsi="Arial" w:cs="Arial"/>
                      <w:kern w:val="24"/>
                    </w:rPr>
                    <w:t>ize.</w:t>
                  </w:r>
                </w:p>
              </w:tc>
            </w:tr>
            <w:tr w:rsidR="00525EAB" w:rsidRPr="00B63086" w14:paraId="0E453F24" w14:textId="77777777" w:rsidTr="00333D5B">
              <w:trPr>
                <w:trHeight w:val="49"/>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58A01944" w14:textId="77777777" w:rsidR="00525EAB" w:rsidRPr="00B63086" w:rsidRDefault="002D22E9" w:rsidP="00333D5B">
                  <w:pPr>
                    <w:spacing w:before="120" w:after="120"/>
                    <w:jc w:val="center"/>
                    <w:textAlignment w:val="baseline"/>
                    <w:rPr>
                      <w:rFonts w:ascii="Arial" w:hAnsi="Arial" w:cs="Arial"/>
                      <w:sz w:val="24"/>
                      <w:szCs w:val="24"/>
                    </w:rPr>
                  </w:pPr>
                  <w:r>
                    <w:rPr>
                      <w:rFonts w:ascii="Arial" w:eastAsia="Calibri" w:hAnsi="Arial" w:cs="Arial"/>
                      <w:bCs/>
                      <w:kern w:val="24"/>
                      <w:sz w:val="24"/>
                      <w:szCs w:val="24"/>
                      <w:lang w:val="en-MY"/>
                    </w:rPr>
                    <w:t>2</w:t>
                  </w:r>
                  <w:r w:rsidR="00E93717">
                    <w:rPr>
                      <w:rFonts w:ascii="Arial" w:eastAsia="Calibri" w:hAnsi="Arial" w:cs="Arial"/>
                      <w:bCs/>
                      <w:kern w:val="24"/>
                      <w:sz w:val="24"/>
                      <w:szCs w:val="24"/>
                      <w:lang w:val="en-MY"/>
                    </w:rPr>
                    <w:t>.</w:t>
                  </w:r>
                </w:p>
              </w:tc>
              <w:tc>
                <w:tcPr>
                  <w:tcW w:w="4534"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10F62025" w14:textId="77777777" w:rsidR="00525EAB" w:rsidRPr="00B63086" w:rsidRDefault="00525EAB" w:rsidP="00E93717">
                  <w:pPr>
                    <w:spacing w:before="120" w:after="120"/>
                    <w:jc w:val="both"/>
                    <w:textAlignment w:val="baseline"/>
                    <w:rPr>
                      <w:rFonts w:ascii="Arial" w:hAnsi="Arial" w:cs="Arial"/>
                      <w:sz w:val="24"/>
                      <w:szCs w:val="24"/>
                    </w:rPr>
                  </w:pPr>
                  <w:r w:rsidRPr="00B63086">
                    <w:rPr>
                      <w:rFonts w:ascii="Arial" w:hAnsi="Arial" w:cs="Arial"/>
                      <w:bCs/>
                      <w:kern w:val="24"/>
                      <w:sz w:val="24"/>
                      <w:szCs w:val="24"/>
                      <w:lang w:val="en-MY"/>
                    </w:rPr>
                    <w:t>Opening of  current or savings account</w:t>
                  </w:r>
                  <w:r w:rsidR="006E7655" w:rsidRPr="00B63086">
                    <w:rPr>
                      <w:rFonts w:ascii="Arial" w:hAnsi="Arial" w:cs="Arial"/>
                      <w:bCs/>
                      <w:kern w:val="24"/>
                      <w:sz w:val="24"/>
                      <w:szCs w:val="24"/>
                      <w:lang w:val="en-MY"/>
                    </w:rPr>
                    <w:t xml:space="preserve"> (if applicable)</w:t>
                  </w:r>
                </w:p>
              </w:tc>
              <w:tc>
                <w:tcPr>
                  <w:tcW w:w="4466"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14:paraId="4D3BE822" w14:textId="77777777" w:rsidR="00525EAB" w:rsidRPr="00EF384C" w:rsidRDefault="00525EAB" w:rsidP="00E93717">
                  <w:pPr>
                    <w:pStyle w:val="NormalWeb"/>
                    <w:spacing w:before="120" w:beforeAutospacing="0" w:after="120" w:afterAutospacing="0"/>
                    <w:jc w:val="both"/>
                    <w:textAlignment w:val="baseline"/>
                    <w:rPr>
                      <w:rFonts w:ascii="Arial" w:hAnsi="Arial" w:cs="Arial"/>
                    </w:rPr>
                  </w:pPr>
                  <w:r w:rsidRPr="00EF384C">
                    <w:rPr>
                      <w:rFonts w:ascii="Arial" w:eastAsia="MS PGothic" w:hAnsi="Arial" w:cs="Arial"/>
                      <w:kern w:val="24"/>
                      <w:lang w:val="en-MY"/>
                    </w:rPr>
                    <w:t xml:space="preserve">As per the Bank’s existing standard </w:t>
                  </w:r>
                  <w:r>
                    <w:rPr>
                      <w:rFonts w:ascii="Arial" w:eastAsia="MS PGothic" w:hAnsi="Arial" w:cs="Arial"/>
                      <w:kern w:val="24"/>
                      <w:lang w:val="en-MY"/>
                    </w:rPr>
                    <w:t>as published in the Bank’s website.</w:t>
                  </w:r>
                </w:p>
              </w:tc>
            </w:tr>
            <w:tr w:rsidR="00525EAB" w:rsidRPr="00B63086" w14:paraId="4D5A0E34" w14:textId="77777777" w:rsidTr="00333D5B">
              <w:trPr>
                <w:trHeight w:val="49"/>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14:paraId="1193F2F1" w14:textId="77777777" w:rsidR="00525EAB" w:rsidRPr="00B63086" w:rsidRDefault="002D22E9" w:rsidP="00333D5B">
                  <w:pPr>
                    <w:spacing w:before="120" w:after="120"/>
                    <w:jc w:val="center"/>
                    <w:textAlignment w:val="baseline"/>
                    <w:rPr>
                      <w:rFonts w:ascii="Arial" w:hAnsi="Arial" w:cs="Arial"/>
                      <w:sz w:val="24"/>
                      <w:szCs w:val="24"/>
                    </w:rPr>
                  </w:pPr>
                  <w:r>
                    <w:rPr>
                      <w:rFonts w:ascii="Arial" w:eastAsia="Calibri" w:hAnsi="Arial" w:cs="Arial"/>
                      <w:bCs/>
                      <w:kern w:val="24"/>
                      <w:sz w:val="24"/>
                      <w:szCs w:val="24"/>
                    </w:rPr>
                    <w:t>3</w:t>
                  </w:r>
                  <w:r w:rsidR="00E93717">
                    <w:rPr>
                      <w:rFonts w:ascii="Arial" w:eastAsia="Calibri" w:hAnsi="Arial" w:cs="Arial"/>
                      <w:bCs/>
                      <w:kern w:val="24"/>
                      <w:sz w:val="24"/>
                      <w:szCs w:val="24"/>
                    </w:rPr>
                    <w:t>.</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14:paraId="73DBB721" w14:textId="77777777" w:rsidR="00525EAB" w:rsidRPr="00B63086" w:rsidRDefault="00525EAB" w:rsidP="00E93717">
                  <w:pPr>
                    <w:spacing w:before="120" w:after="120"/>
                    <w:jc w:val="both"/>
                    <w:textAlignment w:val="baseline"/>
                    <w:rPr>
                      <w:rFonts w:ascii="Arial" w:hAnsi="Arial" w:cs="Arial"/>
                      <w:sz w:val="24"/>
                      <w:szCs w:val="24"/>
                    </w:rPr>
                  </w:pPr>
                  <w:r>
                    <w:rPr>
                      <w:rFonts w:ascii="Arial" w:eastAsia="Calibri" w:hAnsi="Arial" w:cs="Arial"/>
                      <w:bCs/>
                      <w:kern w:val="24"/>
                      <w:sz w:val="24"/>
                      <w:szCs w:val="24"/>
                    </w:rPr>
                    <w:t>Provision of a</w:t>
                  </w:r>
                  <w:r w:rsidRPr="00EF384C">
                    <w:rPr>
                      <w:rFonts w:ascii="Arial" w:eastAsia="Calibri" w:hAnsi="Arial" w:cs="Arial"/>
                      <w:bCs/>
                      <w:kern w:val="24"/>
                      <w:sz w:val="24"/>
                      <w:szCs w:val="24"/>
                    </w:rPr>
                    <w:t xml:space="preserve">d-hoc </w:t>
                  </w:r>
                  <w:r>
                    <w:rPr>
                      <w:rFonts w:ascii="Arial" w:eastAsia="Calibri" w:hAnsi="Arial" w:cs="Arial"/>
                      <w:bCs/>
                      <w:kern w:val="24"/>
                      <w:sz w:val="24"/>
                      <w:szCs w:val="24"/>
                    </w:rPr>
                    <w:t>f</w:t>
                  </w:r>
                  <w:r w:rsidRPr="00EF384C">
                    <w:rPr>
                      <w:rFonts w:ascii="Arial" w:eastAsia="Calibri" w:hAnsi="Arial" w:cs="Arial"/>
                      <w:bCs/>
                      <w:kern w:val="24"/>
                      <w:sz w:val="24"/>
                      <w:szCs w:val="24"/>
                    </w:rPr>
                    <w:t xml:space="preserve">und </w:t>
                  </w:r>
                  <w:r>
                    <w:rPr>
                      <w:rFonts w:ascii="Arial" w:eastAsia="Calibri" w:hAnsi="Arial" w:cs="Arial"/>
                      <w:bCs/>
                      <w:kern w:val="24"/>
                      <w:sz w:val="24"/>
                      <w:szCs w:val="24"/>
                    </w:rPr>
                    <w:t>p</w:t>
                  </w:r>
                  <w:r w:rsidRPr="00EF384C">
                    <w:rPr>
                      <w:rFonts w:ascii="Arial" w:eastAsia="Calibri" w:hAnsi="Arial" w:cs="Arial"/>
                      <w:bCs/>
                      <w:kern w:val="24"/>
                      <w:sz w:val="24"/>
                      <w:szCs w:val="24"/>
                    </w:rPr>
                    <w:t xml:space="preserve">erformance </w:t>
                  </w:r>
                  <w:r>
                    <w:rPr>
                      <w:rFonts w:ascii="Arial" w:eastAsia="Calibri" w:hAnsi="Arial" w:cs="Arial"/>
                      <w:bCs/>
                      <w:kern w:val="24"/>
                      <w:sz w:val="24"/>
                      <w:szCs w:val="24"/>
                    </w:rPr>
                    <w:t>r</w:t>
                  </w:r>
                  <w:r w:rsidRPr="00EF384C">
                    <w:rPr>
                      <w:rFonts w:ascii="Arial" w:eastAsia="Calibri" w:hAnsi="Arial" w:cs="Arial"/>
                      <w:bCs/>
                      <w:kern w:val="24"/>
                      <w:sz w:val="24"/>
                      <w:szCs w:val="24"/>
                    </w:rPr>
                    <w:t>eport</w:t>
                  </w:r>
                </w:p>
              </w:tc>
              <w:tc>
                <w:tcPr>
                  <w:tcW w:w="4466"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14:paraId="4F0D53F0" w14:textId="77777777" w:rsidR="00EC3786" w:rsidRDefault="00525EAB" w:rsidP="00E93717">
                  <w:pPr>
                    <w:pStyle w:val="NormalWeb"/>
                    <w:spacing w:before="120" w:beforeAutospacing="0" w:after="120" w:afterAutospacing="0"/>
                    <w:textAlignment w:val="baseline"/>
                    <w:rPr>
                      <w:rFonts w:ascii="Arial" w:hAnsi="Arial" w:cs="Arial"/>
                    </w:rPr>
                  </w:pPr>
                  <w:r w:rsidRPr="00EF384C">
                    <w:rPr>
                      <w:rFonts w:ascii="Arial" w:eastAsia="Calibri" w:hAnsi="Arial" w:cs="Arial"/>
                      <w:kern w:val="24"/>
                      <w:lang w:val="en-MY"/>
                    </w:rPr>
                    <w:t>RM5</w:t>
                  </w:r>
                  <w:r w:rsidR="002219C1">
                    <w:rPr>
                      <w:rFonts w:ascii="Arial" w:eastAsia="Calibri" w:hAnsi="Arial" w:cs="Arial"/>
                      <w:kern w:val="24"/>
                      <w:lang w:val="en-MY"/>
                    </w:rPr>
                    <w:t>0</w:t>
                  </w:r>
                  <w:r>
                    <w:rPr>
                      <w:rFonts w:ascii="Arial" w:eastAsia="Calibri" w:hAnsi="Arial" w:cs="Arial"/>
                      <w:kern w:val="24"/>
                      <w:lang w:val="en-MY"/>
                    </w:rPr>
                    <w:t>-</w:t>
                  </w:r>
                  <w:r w:rsidR="002D22E9">
                    <w:rPr>
                      <w:rFonts w:ascii="Arial" w:eastAsia="Calibri" w:hAnsi="Arial" w:cs="Arial"/>
                      <w:kern w:val="24"/>
                      <w:lang w:val="en-MY"/>
                    </w:rPr>
                    <w:t xml:space="preserve">00 </w:t>
                  </w:r>
                  <w:r>
                    <w:rPr>
                      <w:rFonts w:ascii="Arial" w:eastAsia="Calibri" w:hAnsi="Arial" w:cs="Arial"/>
                      <w:kern w:val="24"/>
                      <w:lang w:val="en-MY"/>
                    </w:rPr>
                    <w:t>per request.</w:t>
                  </w:r>
                  <w:r w:rsidR="006E7655">
                    <w:rPr>
                      <w:rFonts w:ascii="Arial" w:eastAsia="Calibri" w:hAnsi="Arial" w:cs="Arial"/>
                      <w:kern w:val="24"/>
                      <w:lang w:val="en-MY"/>
                    </w:rPr>
                    <w:t xml:space="preserve"> </w:t>
                  </w:r>
                </w:p>
              </w:tc>
            </w:tr>
          </w:tbl>
          <w:p w14:paraId="12DFCFF0" w14:textId="77777777" w:rsidR="00AD7AC3" w:rsidRPr="00B63086" w:rsidRDefault="00AD7AC3" w:rsidP="00B63086">
            <w:pPr>
              <w:pStyle w:val="ListParagraph"/>
              <w:ind w:left="360"/>
              <w:rPr>
                <w:rFonts w:ascii="Arial" w:hAnsi="Arial" w:cs="Arial"/>
                <w:sz w:val="24"/>
              </w:rPr>
            </w:pPr>
          </w:p>
          <w:p w14:paraId="2F38E502" w14:textId="77777777" w:rsidR="00E93717" w:rsidRDefault="00525EAB" w:rsidP="00A61408">
            <w:pPr>
              <w:pStyle w:val="ListParagraph"/>
              <w:ind w:left="0"/>
              <w:jc w:val="both"/>
              <w:rPr>
                <w:rFonts w:ascii="Arial" w:hAnsi="Arial" w:cs="Arial"/>
                <w:sz w:val="24"/>
                <w:szCs w:val="24"/>
              </w:rPr>
            </w:pPr>
            <w:r w:rsidRPr="00B63086">
              <w:rPr>
                <w:rFonts w:ascii="Arial" w:hAnsi="Arial" w:cs="Arial"/>
                <w:b/>
                <w:sz w:val="24"/>
                <w:szCs w:val="24"/>
              </w:rPr>
              <w:t>Note:</w:t>
            </w:r>
            <w:r w:rsidRPr="00B63086">
              <w:rPr>
                <w:rFonts w:ascii="Arial" w:hAnsi="Arial" w:cs="Arial"/>
                <w:sz w:val="24"/>
                <w:szCs w:val="24"/>
              </w:rPr>
              <w:t xml:space="preserve"> The IAH</w:t>
            </w:r>
            <w:r w:rsidR="00E93717">
              <w:rPr>
                <w:rFonts w:ascii="Arial" w:hAnsi="Arial" w:cs="Arial"/>
                <w:sz w:val="24"/>
                <w:szCs w:val="24"/>
              </w:rPr>
              <w:t>(s)</w:t>
            </w:r>
            <w:r w:rsidRPr="00B63086">
              <w:rPr>
                <w:rFonts w:ascii="Arial" w:hAnsi="Arial" w:cs="Arial"/>
                <w:sz w:val="24"/>
                <w:szCs w:val="24"/>
              </w:rPr>
              <w:t xml:space="preserve"> agrees that the Bank shall be entitled to charge other fees and charges for any of its services provided to the IAH</w:t>
            </w:r>
            <w:r w:rsidR="000C2729">
              <w:rPr>
                <w:rFonts w:ascii="Arial" w:hAnsi="Arial" w:cs="Arial"/>
                <w:sz w:val="24"/>
                <w:szCs w:val="24"/>
              </w:rPr>
              <w:t>(s)</w:t>
            </w:r>
            <w:r w:rsidRPr="00B63086">
              <w:rPr>
                <w:rFonts w:ascii="Arial" w:hAnsi="Arial" w:cs="Arial"/>
                <w:sz w:val="24"/>
                <w:szCs w:val="24"/>
              </w:rPr>
              <w:t xml:space="preserve"> at the rates imposed by the Bank (as approved by Bank Negara Malaysia) and as set out in this Product Disclosure Sheet and/or at the Bank’s website. The fees and charges are </w:t>
            </w:r>
            <w:r w:rsidR="00826B5B">
              <w:rPr>
                <w:rFonts w:ascii="Arial" w:hAnsi="Arial" w:cs="Arial"/>
                <w:sz w:val="24"/>
                <w:szCs w:val="24"/>
              </w:rPr>
              <w:t xml:space="preserve">not </w:t>
            </w:r>
            <w:r w:rsidRPr="00B63086">
              <w:rPr>
                <w:rFonts w:ascii="Arial" w:hAnsi="Arial" w:cs="Arial"/>
                <w:sz w:val="24"/>
                <w:szCs w:val="24"/>
              </w:rPr>
              <w:t>inclusive of the Goods and Services Tax.</w:t>
            </w:r>
          </w:p>
          <w:p w14:paraId="34B647C2" w14:textId="77777777" w:rsidR="00245758" w:rsidRPr="00A61408" w:rsidRDefault="00245758" w:rsidP="00A61408">
            <w:pPr>
              <w:pStyle w:val="ListParagraph"/>
              <w:ind w:left="0"/>
              <w:jc w:val="both"/>
              <w:rPr>
                <w:rFonts w:ascii="Arial" w:hAnsi="Arial" w:cs="Arial"/>
                <w:sz w:val="24"/>
              </w:rPr>
            </w:pPr>
          </w:p>
        </w:tc>
      </w:tr>
      <w:tr w:rsidR="000C1080" w:rsidRPr="00B63086" w14:paraId="12C31EA7" w14:textId="77777777" w:rsidTr="000C1080">
        <w:tc>
          <w:tcPr>
            <w:tcW w:w="9812" w:type="dxa"/>
            <w:shd w:val="clear" w:color="auto" w:fill="000000"/>
          </w:tcPr>
          <w:p w14:paraId="1DCB13CB" w14:textId="77777777" w:rsidR="000C1080" w:rsidRPr="000C1080" w:rsidRDefault="000C1080" w:rsidP="000C1080">
            <w:pPr>
              <w:rPr>
                <w:rFonts w:ascii="Arial" w:hAnsi="Arial" w:cs="Arial"/>
                <w:sz w:val="24"/>
              </w:rPr>
            </w:pPr>
            <w:r w:rsidRPr="000C1080">
              <w:rPr>
                <w:rFonts w:ascii="Arial" w:hAnsi="Arial" w:cs="Arial"/>
                <w:sz w:val="24"/>
              </w:rPr>
              <w:lastRenderedPageBreak/>
              <w:t xml:space="preserve">6.  FUND PERFORMANCE REPORT </w:t>
            </w:r>
          </w:p>
        </w:tc>
      </w:tr>
      <w:tr w:rsidR="000C1080" w:rsidRPr="00B63086" w14:paraId="3BBE5CFC" w14:textId="77777777" w:rsidTr="000C1080">
        <w:tc>
          <w:tcPr>
            <w:tcW w:w="9812" w:type="dxa"/>
            <w:shd w:val="clear" w:color="auto" w:fill="auto"/>
          </w:tcPr>
          <w:p w14:paraId="627BA038" w14:textId="77777777" w:rsidR="000C1080" w:rsidRPr="000C1080" w:rsidRDefault="000C1080" w:rsidP="000C1080">
            <w:pPr>
              <w:rPr>
                <w:rFonts w:ascii="Arial" w:hAnsi="Arial" w:cs="Arial"/>
                <w:sz w:val="24"/>
              </w:rPr>
            </w:pPr>
          </w:p>
        </w:tc>
      </w:tr>
      <w:tr w:rsidR="000C1080" w:rsidRPr="00B63086" w14:paraId="157F9487" w14:textId="77777777" w:rsidTr="000C1080">
        <w:tc>
          <w:tcPr>
            <w:tcW w:w="9812" w:type="dxa"/>
            <w:shd w:val="clear" w:color="auto" w:fill="000000"/>
          </w:tcPr>
          <w:p w14:paraId="110204D2" w14:textId="77777777" w:rsidR="000C1080" w:rsidRPr="000C1080" w:rsidRDefault="000C1080" w:rsidP="000C1080">
            <w:pPr>
              <w:rPr>
                <w:rFonts w:ascii="Arial" w:hAnsi="Arial" w:cs="Arial"/>
                <w:sz w:val="24"/>
              </w:rPr>
            </w:pPr>
            <w:r w:rsidRPr="000C1080">
              <w:rPr>
                <w:rFonts w:ascii="Arial" w:hAnsi="Arial" w:cs="Arial"/>
                <w:sz w:val="24"/>
              </w:rPr>
              <w:t>Where progress and performance of the fund are published</w:t>
            </w:r>
          </w:p>
        </w:tc>
      </w:tr>
      <w:tr w:rsidR="000C1080" w:rsidRPr="00B63086" w14:paraId="5F0F685D" w14:textId="77777777" w:rsidTr="000C1080">
        <w:tc>
          <w:tcPr>
            <w:tcW w:w="9812" w:type="dxa"/>
          </w:tcPr>
          <w:p w14:paraId="5A71C746" w14:textId="77777777" w:rsidR="000C1080" w:rsidRPr="00B63086" w:rsidRDefault="000C1080" w:rsidP="000D6CB9">
            <w:pPr>
              <w:rPr>
                <w:rFonts w:ascii="Arial" w:hAnsi="Arial" w:cs="Arial"/>
                <w:sz w:val="24"/>
              </w:rPr>
            </w:pPr>
          </w:p>
          <w:p w14:paraId="59F6A62A" w14:textId="77777777" w:rsidR="000C1080" w:rsidRPr="00B63086" w:rsidRDefault="000C1080" w:rsidP="000C1080">
            <w:pPr>
              <w:rPr>
                <w:rFonts w:ascii="Arial" w:hAnsi="Arial" w:cs="Arial"/>
                <w:sz w:val="24"/>
              </w:rPr>
            </w:pPr>
            <w:r w:rsidRPr="00B63086">
              <w:rPr>
                <w:rFonts w:ascii="Arial" w:hAnsi="Arial" w:cs="Arial"/>
                <w:sz w:val="24"/>
              </w:rPr>
              <w:t>The quarterly fund performance report will be sent to the IAH</w:t>
            </w:r>
            <w:r>
              <w:rPr>
                <w:rFonts w:ascii="Arial" w:hAnsi="Arial" w:cs="Arial"/>
                <w:sz w:val="24"/>
              </w:rPr>
              <w:t>(s)</w:t>
            </w:r>
            <w:r w:rsidRPr="00B63086">
              <w:rPr>
                <w:rFonts w:ascii="Arial" w:hAnsi="Arial" w:cs="Arial"/>
                <w:sz w:val="24"/>
              </w:rPr>
              <w:t xml:space="preserve"> through electronic mail. </w:t>
            </w:r>
          </w:p>
          <w:p w14:paraId="66517C03" w14:textId="77777777" w:rsidR="000C1080" w:rsidRPr="00B63086" w:rsidRDefault="000C1080" w:rsidP="000D6CB9">
            <w:pPr>
              <w:rPr>
                <w:rFonts w:ascii="Arial" w:hAnsi="Arial" w:cs="Arial"/>
                <w:sz w:val="24"/>
              </w:rPr>
            </w:pPr>
          </w:p>
        </w:tc>
      </w:tr>
      <w:tr w:rsidR="000C1080" w:rsidRPr="00B63086" w14:paraId="09C44B39" w14:textId="77777777" w:rsidTr="000C1080">
        <w:tc>
          <w:tcPr>
            <w:tcW w:w="9812" w:type="dxa"/>
            <w:shd w:val="clear" w:color="auto" w:fill="000000"/>
          </w:tcPr>
          <w:p w14:paraId="6D23997D" w14:textId="77777777" w:rsidR="000C1080" w:rsidRPr="000C1080" w:rsidRDefault="000C1080" w:rsidP="000C1080">
            <w:pPr>
              <w:rPr>
                <w:rFonts w:ascii="Arial" w:hAnsi="Arial" w:cs="Arial"/>
                <w:sz w:val="24"/>
              </w:rPr>
            </w:pPr>
            <w:r w:rsidRPr="000C1080">
              <w:rPr>
                <w:rFonts w:ascii="Arial" w:hAnsi="Arial" w:cs="Arial"/>
                <w:sz w:val="24"/>
              </w:rPr>
              <w:t>7.  CONTACT INFORMATION</w:t>
            </w:r>
          </w:p>
        </w:tc>
      </w:tr>
      <w:tr w:rsidR="000C1080" w:rsidRPr="00B63086" w14:paraId="22D3D8E3" w14:textId="77777777" w:rsidTr="000C1080">
        <w:tc>
          <w:tcPr>
            <w:tcW w:w="9812" w:type="dxa"/>
            <w:shd w:val="clear" w:color="auto" w:fill="auto"/>
          </w:tcPr>
          <w:p w14:paraId="4A867218" w14:textId="77777777" w:rsidR="000C1080" w:rsidRPr="000C1080" w:rsidRDefault="000C1080" w:rsidP="000C1080">
            <w:pPr>
              <w:rPr>
                <w:rFonts w:ascii="Arial" w:hAnsi="Arial" w:cs="Arial"/>
                <w:sz w:val="24"/>
              </w:rPr>
            </w:pPr>
          </w:p>
        </w:tc>
      </w:tr>
      <w:tr w:rsidR="000C1080" w:rsidRPr="00B63086" w14:paraId="56390782" w14:textId="77777777" w:rsidTr="000C1080">
        <w:tc>
          <w:tcPr>
            <w:tcW w:w="9812" w:type="dxa"/>
            <w:shd w:val="clear" w:color="auto" w:fill="000000"/>
          </w:tcPr>
          <w:p w14:paraId="343451F6" w14:textId="77777777" w:rsidR="000C1080" w:rsidRPr="000C1080" w:rsidRDefault="000C1080" w:rsidP="000C1080">
            <w:pPr>
              <w:rPr>
                <w:rFonts w:ascii="Arial" w:hAnsi="Arial" w:cs="Arial"/>
                <w:sz w:val="24"/>
              </w:rPr>
            </w:pPr>
            <w:r w:rsidRPr="000C1080">
              <w:rPr>
                <w:rFonts w:ascii="Arial" w:hAnsi="Arial" w:cs="Arial"/>
                <w:sz w:val="24"/>
              </w:rPr>
              <w:t>Who should I contact for further information or to lodge a complaint?</w:t>
            </w:r>
          </w:p>
        </w:tc>
      </w:tr>
      <w:tr w:rsidR="000C1080" w:rsidRPr="00B63086" w14:paraId="66A10A68" w14:textId="77777777" w:rsidTr="000C1080">
        <w:tc>
          <w:tcPr>
            <w:tcW w:w="9812" w:type="dxa"/>
          </w:tcPr>
          <w:p w14:paraId="64E1E875" w14:textId="77777777" w:rsidR="000C1080" w:rsidRPr="000C1080" w:rsidRDefault="000C1080" w:rsidP="000C1080">
            <w:pPr>
              <w:rPr>
                <w:rFonts w:ascii="Arial" w:hAnsi="Arial" w:cs="Arial"/>
                <w:sz w:val="24"/>
              </w:rPr>
            </w:pPr>
          </w:p>
          <w:p w14:paraId="499FAF5D" w14:textId="77777777" w:rsidR="000C1080" w:rsidRPr="00B63086" w:rsidRDefault="000C1080" w:rsidP="000D6CB9">
            <w:pPr>
              <w:numPr>
                <w:ilvl w:val="0"/>
                <w:numId w:val="4"/>
              </w:numPr>
              <w:jc w:val="both"/>
              <w:rPr>
                <w:rFonts w:ascii="Arial" w:hAnsi="Arial" w:cs="Arial"/>
                <w:sz w:val="24"/>
              </w:rPr>
            </w:pPr>
            <w:r w:rsidRPr="00B63086">
              <w:rPr>
                <w:rFonts w:ascii="Arial" w:hAnsi="Arial" w:cs="Arial"/>
                <w:sz w:val="24"/>
              </w:rPr>
              <w:t>If you wish to make any queries or complaint on the products or services provided by us, you may contact us at:</w:t>
            </w:r>
            <w:r>
              <w:rPr>
                <w:rFonts w:ascii="Arial" w:hAnsi="Arial" w:cs="Arial"/>
                <w:sz w:val="24"/>
              </w:rPr>
              <w:t>-</w:t>
            </w:r>
            <w:r w:rsidRPr="00B63086">
              <w:rPr>
                <w:rFonts w:ascii="Arial" w:hAnsi="Arial" w:cs="Arial"/>
                <w:sz w:val="24"/>
              </w:rPr>
              <w:t xml:space="preserve"> </w:t>
            </w:r>
          </w:p>
          <w:p w14:paraId="0E175AFB" w14:textId="77777777" w:rsidR="000C1080" w:rsidRPr="00B63086" w:rsidRDefault="000C1080" w:rsidP="000C1080">
            <w:pPr>
              <w:rPr>
                <w:rFonts w:ascii="Arial" w:hAnsi="Arial" w:cs="Arial"/>
                <w:sz w:val="24"/>
              </w:rPr>
            </w:pPr>
          </w:p>
          <w:p w14:paraId="3109FAA5" w14:textId="77777777" w:rsidR="000C1080" w:rsidRPr="00B63086" w:rsidRDefault="000C1080" w:rsidP="000C1080">
            <w:pPr>
              <w:rPr>
                <w:rFonts w:ascii="Arial" w:hAnsi="Arial" w:cs="Arial"/>
                <w:sz w:val="24"/>
              </w:rPr>
            </w:pPr>
            <w:r w:rsidRPr="00B63086">
              <w:rPr>
                <w:rFonts w:ascii="Arial" w:hAnsi="Arial" w:cs="Arial"/>
                <w:sz w:val="24"/>
              </w:rPr>
              <w:t>For any enquiry, kindly contact:</w:t>
            </w:r>
            <w:r>
              <w:rPr>
                <w:rFonts w:ascii="Arial" w:hAnsi="Arial" w:cs="Arial"/>
                <w:sz w:val="24"/>
              </w:rPr>
              <w:t>-</w:t>
            </w:r>
          </w:p>
          <w:p w14:paraId="66E14CE7" w14:textId="77777777" w:rsidR="000C1080" w:rsidRPr="00B63086" w:rsidRDefault="000C1080" w:rsidP="000C1080">
            <w:pPr>
              <w:rPr>
                <w:rFonts w:ascii="Arial" w:hAnsi="Arial" w:cs="Arial"/>
                <w:sz w:val="24"/>
              </w:rPr>
            </w:pPr>
          </w:p>
          <w:p w14:paraId="6C502643" w14:textId="77777777" w:rsidR="000C1080" w:rsidRPr="000C1080" w:rsidRDefault="000C1080" w:rsidP="000C1080">
            <w:pPr>
              <w:rPr>
                <w:rFonts w:ascii="Arial" w:hAnsi="Arial" w:cs="Arial"/>
                <w:sz w:val="24"/>
              </w:rPr>
            </w:pPr>
            <w:r w:rsidRPr="000C1080">
              <w:rPr>
                <w:rFonts w:ascii="Arial" w:hAnsi="Arial" w:cs="Arial"/>
                <w:sz w:val="24"/>
              </w:rPr>
              <w:t>Headquarters Address:-</w:t>
            </w:r>
          </w:p>
          <w:p w14:paraId="59D8CB34" w14:textId="77777777" w:rsidR="000C1080" w:rsidRPr="000C1080" w:rsidRDefault="000C1080" w:rsidP="000C1080">
            <w:pPr>
              <w:rPr>
                <w:rFonts w:ascii="Arial" w:hAnsi="Arial" w:cs="Arial"/>
                <w:sz w:val="24"/>
              </w:rPr>
            </w:pPr>
            <w:r w:rsidRPr="000C1080">
              <w:rPr>
                <w:rFonts w:ascii="Arial" w:hAnsi="Arial" w:cs="Arial"/>
                <w:sz w:val="24"/>
              </w:rPr>
              <w:t>Capital Market Department,</w:t>
            </w:r>
          </w:p>
          <w:p w14:paraId="6CF87543" w14:textId="77777777" w:rsidR="000C1080" w:rsidRPr="000C1080" w:rsidRDefault="000C1080" w:rsidP="000C1080">
            <w:pPr>
              <w:rPr>
                <w:rFonts w:ascii="Arial" w:hAnsi="Arial" w:cs="Arial"/>
                <w:sz w:val="24"/>
              </w:rPr>
            </w:pPr>
            <w:r w:rsidRPr="000C1080">
              <w:rPr>
                <w:rFonts w:ascii="Arial" w:hAnsi="Arial" w:cs="Arial"/>
                <w:sz w:val="24"/>
              </w:rPr>
              <w:t>22nd Floor, Menara Bank Islam,</w:t>
            </w:r>
          </w:p>
          <w:p w14:paraId="12B77059" w14:textId="77777777" w:rsidR="000C1080" w:rsidRPr="000C1080" w:rsidRDefault="000C1080" w:rsidP="000C1080">
            <w:pPr>
              <w:rPr>
                <w:rFonts w:ascii="Arial" w:hAnsi="Arial" w:cs="Arial"/>
                <w:sz w:val="24"/>
              </w:rPr>
            </w:pPr>
            <w:r w:rsidRPr="000C1080">
              <w:rPr>
                <w:rFonts w:ascii="Arial" w:hAnsi="Arial" w:cs="Arial"/>
                <w:sz w:val="24"/>
              </w:rPr>
              <w:t>22, Jalan Perak, 50450 Kuala Lumpur</w:t>
            </w:r>
          </w:p>
          <w:p w14:paraId="225DB41E" w14:textId="77777777" w:rsidR="000C1080" w:rsidRPr="000C1080" w:rsidRDefault="000C1080" w:rsidP="000C1080">
            <w:pPr>
              <w:rPr>
                <w:rFonts w:ascii="Arial" w:hAnsi="Arial" w:cs="Arial"/>
                <w:sz w:val="24"/>
              </w:rPr>
            </w:pPr>
            <w:r w:rsidRPr="000C1080">
              <w:rPr>
                <w:rFonts w:ascii="Arial" w:hAnsi="Arial" w:cs="Arial"/>
                <w:sz w:val="24"/>
              </w:rPr>
              <w:t>Tel:  03-2688 2688/ 2705/ 2602/ 2622 / 2703 or 03-2782 1278</w:t>
            </w:r>
          </w:p>
          <w:p w14:paraId="7FD395B2" w14:textId="77777777" w:rsidR="000C1080" w:rsidRPr="000C1080" w:rsidRDefault="000C1080" w:rsidP="000C1080">
            <w:pPr>
              <w:rPr>
                <w:rFonts w:ascii="Arial" w:hAnsi="Arial" w:cs="Arial"/>
                <w:sz w:val="24"/>
              </w:rPr>
            </w:pPr>
            <w:r w:rsidRPr="000C1080">
              <w:rPr>
                <w:rFonts w:ascii="Arial" w:hAnsi="Arial" w:cs="Arial"/>
                <w:sz w:val="24"/>
              </w:rPr>
              <w:t>Fax: 03-2688 2711</w:t>
            </w:r>
          </w:p>
          <w:p w14:paraId="7322D3B5" w14:textId="77777777" w:rsidR="000C1080" w:rsidRPr="000C1080" w:rsidRDefault="000C1080" w:rsidP="000C1080">
            <w:pPr>
              <w:rPr>
                <w:rFonts w:ascii="Arial" w:hAnsi="Arial" w:cs="Arial"/>
                <w:sz w:val="24"/>
              </w:rPr>
            </w:pPr>
            <w:r w:rsidRPr="000C1080">
              <w:rPr>
                <w:rFonts w:ascii="Arial" w:hAnsi="Arial" w:cs="Arial"/>
                <w:sz w:val="24"/>
              </w:rPr>
              <w:t xml:space="preserve">Email: </w:t>
            </w:r>
            <w:hyperlink r:id="rId10" w:history="1">
              <w:r w:rsidRPr="000C1080">
                <w:rPr>
                  <w:rStyle w:val="Hyperlink"/>
                  <w:rFonts w:ascii="Arial" w:hAnsi="Arial" w:cs="Arial"/>
                  <w:sz w:val="24"/>
                </w:rPr>
                <w:t>iap.business@bankislam.com.my</w:t>
              </w:r>
            </w:hyperlink>
            <w:r w:rsidRPr="000C1080">
              <w:rPr>
                <w:rFonts w:ascii="Arial" w:hAnsi="Arial" w:cs="Arial"/>
                <w:sz w:val="24"/>
              </w:rPr>
              <w:t xml:space="preserve"> ; </w:t>
            </w:r>
            <w:r w:rsidRPr="00B63086">
              <w:rPr>
                <w:rFonts w:ascii="Arial" w:hAnsi="Arial" w:cs="Arial"/>
                <w:sz w:val="24"/>
              </w:rPr>
              <w:t>or</w:t>
            </w:r>
          </w:p>
          <w:p w14:paraId="1A20C54F" w14:textId="77777777" w:rsidR="000C1080" w:rsidRPr="00B63086" w:rsidRDefault="000C1080" w:rsidP="000C1080">
            <w:pPr>
              <w:rPr>
                <w:rFonts w:ascii="Arial" w:hAnsi="Arial" w:cs="Arial"/>
                <w:sz w:val="24"/>
              </w:rPr>
            </w:pPr>
          </w:p>
          <w:p w14:paraId="763E3998" w14:textId="77777777" w:rsidR="000C1080" w:rsidRPr="00B63086" w:rsidRDefault="000C1080" w:rsidP="000C1080">
            <w:pPr>
              <w:rPr>
                <w:rFonts w:ascii="Arial" w:hAnsi="Arial" w:cs="Arial"/>
                <w:sz w:val="24"/>
              </w:rPr>
            </w:pPr>
            <w:r w:rsidRPr="00B63086">
              <w:rPr>
                <w:rFonts w:ascii="Arial" w:hAnsi="Arial" w:cs="Arial"/>
                <w:sz w:val="24"/>
              </w:rPr>
              <w:t>For any complaint, kindly contact:</w:t>
            </w:r>
            <w:r>
              <w:rPr>
                <w:rFonts w:ascii="Arial" w:hAnsi="Arial" w:cs="Arial"/>
                <w:sz w:val="24"/>
              </w:rPr>
              <w:t>-</w:t>
            </w:r>
          </w:p>
          <w:p w14:paraId="4C346A83" w14:textId="77777777" w:rsidR="000C1080" w:rsidRPr="00B63086" w:rsidRDefault="000C1080" w:rsidP="000C1080">
            <w:pPr>
              <w:rPr>
                <w:rFonts w:ascii="Arial" w:hAnsi="Arial" w:cs="Arial"/>
                <w:sz w:val="24"/>
              </w:rPr>
            </w:pPr>
          </w:p>
          <w:p w14:paraId="11E70BD1" w14:textId="77777777" w:rsidR="000C1080" w:rsidRPr="00B63086" w:rsidRDefault="000C1080" w:rsidP="000C1080">
            <w:pPr>
              <w:rPr>
                <w:rFonts w:ascii="Arial" w:hAnsi="Arial" w:cs="Arial"/>
                <w:sz w:val="24"/>
              </w:rPr>
            </w:pPr>
            <w:r w:rsidRPr="000C1080">
              <w:rPr>
                <w:rFonts w:ascii="Arial" w:hAnsi="Arial" w:cs="Arial"/>
                <w:sz w:val="24"/>
              </w:rPr>
              <w:t xml:space="preserve">Contact Centre &amp; Feedback Channel </w:t>
            </w:r>
          </w:p>
          <w:p w14:paraId="67BD1DCD" w14:textId="77777777" w:rsidR="000C1080" w:rsidRPr="00B63086" w:rsidRDefault="000C1080" w:rsidP="000C1080">
            <w:pPr>
              <w:rPr>
                <w:rFonts w:ascii="Arial" w:hAnsi="Arial" w:cs="Arial"/>
                <w:sz w:val="24"/>
              </w:rPr>
            </w:pPr>
            <w:r w:rsidRPr="000C1080">
              <w:rPr>
                <w:rFonts w:ascii="Arial" w:hAnsi="Arial" w:cs="Arial"/>
                <w:sz w:val="24"/>
              </w:rPr>
              <w:t xml:space="preserve">Bank Islam Malaysia Berhad </w:t>
            </w:r>
          </w:p>
          <w:p w14:paraId="5D2D293F" w14:textId="77777777" w:rsidR="000C1080" w:rsidRPr="00B63086" w:rsidRDefault="000C1080" w:rsidP="000C1080">
            <w:pPr>
              <w:rPr>
                <w:rFonts w:ascii="Arial" w:hAnsi="Arial" w:cs="Arial"/>
                <w:sz w:val="24"/>
              </w:rPr>
            </w:pPr>
            <w:r w:rsidRPr="000C1080">
              <w:rPr>
                <w:rFonts w:ascii="Arial" w:hAnsi="Arial" w:cs="Arial"/>
                <w:sz w:val="24"/>
              </w:rPr>
              <w:t xml:space="preserve">17th Floor, Menara Bank Islam </w:t>
            </w:r>
          </w:p>
          <w:p w14:paraId="289445AE" w14:textId="77777777" w:rsidR="000C1080" w:rsidRPr="000C1080" w:rsidRDefault="000C1080" w:rsidP="000C1080">
            <w:pPr>
              <w:rPr>
                <w:rFonts w:ascii="Arial" w:hAnsi="Arial" w:cs="Arial"/>
                <w:sz w:val="24"/>
              </w:rPr>
            </w:pPr>
            <w:r w:rsidRPr="000C1080">
              <w:rPr>
                <w:rFonts w:ascii="Arial" w:hAnsi="Arial" w:cs="Arial"/>
                <w:sz w:val="24"/>
              </w:rPr>
              <w:t>22, Jalan Perak, 50450 Kuala Lumpur</w:t>
            </w:r>
          </w:p>
          <w:p w14:paraId="5B41FE59" w14:textId="77777777" w:rsidR="000C1080" w:rsidRPr="000C1080" w:rsidRDefault="000C1080" w:rsidP="000C1080">
            <w:pPr>
              <w:rPr>
                <w:rFonts w:ascii="Arial" w:hAnsi="Arial" w:cs="Arial"/>
                <w:sz w:val="24"/>
              </w:rPr>
            </w:pPr>
            <w:r w:rsidRPr="000C1080">
              <w:rPr>
                <w:rFonts w:ascii="Arial" w:hAnsi="Arial" w:cs="Arial"/>
                <w:sz w:val="24"/>
              </w:rPr>
              <w:t xml:space="preserve">Tel: 03-2782 1281/ 1284/ 1285 </w:t>
            </w:r>
          </w:p>
          <w:p w14:paraId="0DC789E1" w14:textId="77777777" w:rsidR="000C1080" w:rsidRPr="00B63086" w:rsidRDefault="000C1080" w:rsidP="000C1080">
            <w:pPr>
              <w:rPr>
                <w:rFonts w:ascii="Arial" w:hAnsi="Arial" w:cs="Arial"/>
                <w:sz w:val="24"/>
              </w:rPr>
            </w:pPr>
            <w:r w:rsidRPr="00B63086">
              <w:rPr>
                <w:rFonts w:ascii="Arial" w:hAnsi="Arial" w:cs="Arial"/>
                <w:sz w:val="24"/>
              </w:rPr>
              <w:t xml:space="preserve">Fax: </w:t>
            </w:r>
            <w:r w:rsidRPr="000C1080">
              <w:rPr>
                <w:rFonts w:ascii="Arial" w:hAnsi="Arial" w:cs="Arial"/>
                <w:sz w:val="24"/>
              </w:rPr>
              <w:t xml:space="preserve">03-2782 1337 </w:t>
            </w:r>
          </w:p>
          <w:p w14:paraId="3B0145A5" w14:textId="77777777" w:rsidR="000C1080" w:rsidRPr="000C1080" w:rsidRDefault="000C1080" w:rsidP="000C1080">
            <w:pPr>
              <w:rPr>
                <w:rFonts w:ascii="Arial" w:hAnsi="Arial" w:cs="Arial"/>
                <w:sz w:val="24"/>
              </w:rPr>
            </w:pPr>
            <w:r w:rsidRPr="000C1080">
              <w:rPr>
                <w:rFonts w:ascii="Arial" w:hAnsi="Arial" w:cs="Arial"/>
                <w:sz w:val="24"/>
              </w:rPr>
              <w:t xml:space="preserve">Email: </w:t>
            </w:r>
            <w:hyperlink r:id="rId11" w:history="1">
              <w:r w:rsidRPr="000C1080">
                <w:rPr>
                  <w:rStyle w:val="Hyperlink"/>
                  <w:rFonts w:ascii="Arial" w:hAnsi="Arial" w:cs="Arial"/>
                  <w:sz w:val="24"/>
                </w:rPr>
                <w:t>feedbackchannel@bankislam.com.my</w:t>
              </w:r>
            </w:hyperlink>
            <w:r w:rsidRPr="000C1080">
              <w:rPr>
                <w:rFonts w:ascii="Arial" w:hAnsi="Arial" w:cs="Arial"/>
                <w:sz w:val="24"/>
              </w:rPr>
              <w:t xml:space="preserve"> ; </w:t>
            </w:r>
            <w:r w:rsidRPr="00B63086">
              <w:rPr>
                <w:rFonts w:ascii="Arial" w:hAnsi="Arial" w:cs="Arial"/>
                <w:sz w:val="24"/>
              </w:rPr>
              <w:t xml:space="preserve">or </w:t>
            </w:r>
          </w:p>
          <w:p w14:paraId="3AD99AAA" w14:textId="77777777" w:rsidR="000C1080" w:rsidRPr="000C1080" w:rsidRDefault="000C1080" w:rsidP="000C1080">
            <w:pPr>
              <w:rPr>
                <w:rFonts w:ascii="Arial" w:hAnsi="Arial" w:cs="Arial"/>
                <w:sz w:val="24"/>
              </w:rPr>
            </w:pPr>
          </w:p>
          <w:p w14:paraId="490F4FC9" w14:textId="77777777" w:rsidR="000C1080" w:rsidRPr="00B63086" w:rsidRDefault="000C1080" w:rsidP="000D6CB9">
            <w:pPr>
              <w:numPr>
                <w:ilvl w:val="0"/>
                <w:numId w:val="4"/>
              </w:numPr>
              <w:jc w:val="both"/>
              <w:rPr>
                <w:rFonts w:ascii="Arial" w:hAnsi="Arial" w:cs="Arial"/>
                <w:sz w:val="24"/>
              </w:rPr>
            </w:pPr>
            <w:r>
              <w:rPr>
                <w:rFonts w:ascii="Arial" w:hAnsi="Arial" w:cs="Arial"/>
                <w:sz w:val="24"/>
              </w:rPr>
              <w:t>I</w:t>
            </w:r>
            <w:r w:rsidRPr="00B63086">
              <w:rPr>
                <w:rFonts w:ascii="Arial" w:hAnsi="Arial" w:cs="Arial"/>
                <w:sz w:val="24"/>
              </w:rPr>
              <w:t xml:space="preserve">f your query or complaints is not satisfactorily resolved by us, you may contact Bank Negara Malaysia LINK or TELELINK at: </w:t>
            </w:r>
          </w:p>
          <w:p w14:paraId="6B74BEAA" w14:textId="77777777" w:rsidR="000C1080" w:rsidRPr="00B63086" w:rsidRDefault="000C1080" w:rsidP="000C1080">
            <w:pPr>
              <w:rPr>
                <w:rFonts w:ascii="Arial" w:hAnsi="Arial" w:cs="Arial"/>
                <w:sz w:val="24"/>
              </w:rPr>
            </w:pPr>
          </w:p>
          <w:p w14:paraId="78C36821" w14:textId="77777777" w:rsidR="000C1080" w:rsidRPr="00B63086" w:rsidRDefault="000C1080" w:rsidP="000C1080">
            <w:pPr>
              <w:rPr>
                <w:rFonts w:ascii="Arial" w:hAnsi="Arial" w:cs="Arial"/>
                <w:sz w:val="24"/>
              </w:rPr>
            </w:pPr>
            <w:r w:rsidRPr="00B63086">
              <w:rPr>
                <w:rFonts w:ascii="Arial" w:hAnsi="Arial" w:cs="Arial"/>
                <w:sz w:val="24"/>
              </w:rPr>
              <w:t xml:space="preserve">Block D, Bank Negara Malaysia, </w:t>
            </w:r>
          </w:p>
          <w:p w14:paraId="7B7EBB3C" w14:textId="77777777" w:rsidR="000C1080" w:rsidRPr="00B63086" w:rsidRDefault="000C1080" w:rsidP="000C1080">
            <w:pPr>
              <w:rPr>
                <w:rFonts w:ascii="Arial" w:hAnsi="Arial" w:cs="Arial"/>
                <w:sz w:val="24"/>
              </w:rPr>
            </w:pPr>
            <w:r w:rsidRPr="000C1080">
              <w:rPr>
                <w:rFonts w:ascii="Arial" w:hAnsi="Arial" w:cs="Arial"/>
                <w:sz w:val="24"/>
              </w:rPr>
              <w:t xml:space="preserve">Jalan Dato’ Onn, </w:t>
            </w:r>
          </w:p>
          <w:p w14:paraId="47E1F9BD" w14:textId="77777777" w:rsidR="000C1080" w:rsidRPr="00B63086" w:rsidRDefault="000C1080" w:rsidP="000C1080">
            <w:pPr>
              <w:rPr>
                <w:rFonts w:ascii="Arial" w:hAnsi="Arial" w:cs="Arial"/>
                <w:sz w:val="24"/>
              </w:rPr>
            </w:pPr>
            <w:r w:rsidRPr="00B63086">
              <w:rPr>
                <w:rFonts w:ascii="Arial" w:hAnsi="Arial" w:cs="Arial"/>
                <w:sz w:val="24"/>
              </w:rPr>
              <w:t xml:space="preserve">50480 Kuala Lumpur. </w:t>
            </w:r>
          </w:p>
          <w:p w14:paraId="433694C3" w14:textId="77777777" w:rsidR="000C1080" w:rsidRPr="00B63086" w:rsidRDefault="000C1080" w:rsidP="000C1080">
            <w:pPr>
              <w:rPr>
                <w:rFonts w:ascii="Arial" w:hAnsi="Arial" w:cs="Arial"/>
                <w:sz w:val="24"/>
              </w:rPr>
            </w:pPr>
            <w:r w:rsidRPr="000C1080">
              <w:rPr>
                <w:rFonts w:ascii="Arial" w:hAnsi="Arial" w:cs="Arial"/>
                <w:sz w:val="24"/>
              </w:rPr>
              <w:t xml:space="preserve">Tel: 1-300-88-5465 </w:t>
            </w:r>
          </w:p>
          <w:p w14:paraId="1FF5D329" w14:textId="77777777" w:rsidR="000C1080" w:rsidRPr="00B63086" w:rsidRDefault="000C1080" w:rsidP="000C1080">
            <w:pPr>
              <w:rPr>
                <w:rFonts w:ascii="Arial" w:hAnsi="Arial" w:cs="Arial"/>
                <w:sz w:val="24"/>
              </w:rPr>
            </w:pPr>
            <w:r w:rsidRPr="000C1080">
              <w:rPr>
                <w:rFonts w:ascii="Arial" w:hAnsi="Arial" w:cs="Arial"/>
                <w:sz w:val="24"/>
              </w:rPr>
              <w:t xml:space="preserve">Fax: 03-2174 1515 </w:t>
            </w:r>
          </w:p>
          <w:p w14:paraId="34B288F6" w14:textId="77777777" w:rsidR="000C1080" w:rsidRPr="000C1080" w:rsidRDefault="000C1080" w:rsidP="000C1080">
            <w:pPr>
              <w:rPr>
                <w:rFonts w:ascii="Arial" w:hAnsi="Arial" w:cs="Arial"/>
                <w:sz w:val="24"/>
              </w:rPr>
            </w:pPr>
            <w:r w:rsidRPr="00B63086">
              <w:rPr>
                <w:rFonts w:ascii="Arial" w:hAnsi="Arial" w:cs="Arial"/>
                <w:sz w:val="24"/>
              </w:rPr>
              <w:t xml:space="preserve">Email: </w:t>
            </w:r>
            <w:hyperlink r:id="rId12" w:history="1">
              <w:r w:rsidRPr="000C1080">
                <w:rPr>
                  <w:rStyle w:val="Hyperlink"/>
                  <w:rFonts w:ascii="Arial" w:hAnsi="Arial" w:cs="Arial"/>
                  <w:sz w:val="24"/>
                </w:rPr>
                <w:t>bnmtelelink@bnm.gov.my</w:t>
              </w:r>
            </w:hyperlink>
            <w:r w:rsidRPr="000C1080">
              <w:rPr>
                <w:rFonts w:ascii="Arial" w:hAnsi="Arial" w:cs="Arial"/>
                <w:sz w:val="24"/>
              </w:rPr>
              <w:t xml:space="preserve">  </w:t>
            </w:r>
          </w:p>
          <w:p w14:paraId="403D20A1" w14:textId="77777777" w:rsidR="000C1080" w:rsidRPr="00B63086" w:rsidRDefault="000C1080" w:rsidP="000C1080">
            <w:pPr>
              <w:rPr>
                <w:rFonts w:ascii="Arial" w:hAnsi="Arial" w:cs="Arial"/>
                <w:sz w:val="24"/>
              </w:rPr>
            </w:pPr>
          </w:p>
          <w:p w14:paraId="0419A379" w14:textId="77777777" w:rsidR="000C1080" w:rsidRPr="000C1080" w:rsidRDefault="000C1080" w:rsidP="000C1080">
            <w:pPr>
              <w:rPr>
                <w:rFonts w:ascii="Arial" w:hAnsi="Arial" w:cs="Arial"/>
                <w:sz w:val="24"/>
              </w:rPr>
            </w:pPr>
            <w:r w:rsidRPr="000C1080">
              <w:rPr>
                <w:rFonts w:ascii="Arial" w:hAnsi="Arial" w:cs="Arial"/>
                <w:b/>
                <w:sz w:val="24"/>
              </w:rPr>
              <w:t>Note</w:t>
            </w:r>
            <w:r w:rsidRPr="000C1080">
              <w:rPr>
                <w:rFonts w:ascii="Arial" w:hAnsi="Arial" w:cs="Arial"/>
                <w:sz w:val="24"/>
              </w:rPr>
              <w:t xml:space="preserve">: Information contained herein is accurate as of the time of publishing and subject to change in accordance with applicable rules, regulations or guidelines issued by Bank </w:t>
            </w:r>
            <w:r w:rsidRPr="000C1080">
              <w:rPr>
                <w:rFonts w:ascii="Arial" w:hAnsi="Arial" w:cs="Arial"/>
                <w:sz w:val="24"/>
              </w:rPr>
              <w:lastRenderedPageBreak/>
              <w:t>Negara Malaysia from time to time.</w:t>
            </w:r>
          </w:p>
        </w:tc>
      </w:tr>
      <w:tr w:rsidR="000C1080" w:rsidRPr="00B63086" w14:paraId="20D917FB" w14:textId="77777777" w:rsidTr="000C1080">
        <w:tc>
          <w:tcPr>
            <w:tcW w:w="9812" w:type="dxa"/>
          </w:tcPr>
          <w:p w14:paraId="4B19337D" w14:textId="77777777" w:rsidR="000C1080" w:rsidRPr="00B63086" w:rsidRDefault="000C1080" w:rsidP="000D6CB9">
            <w:pPr>
              <w:rPr>
                <w:rFonts w:ascii="Arial" w:hAnsi="Arial" w:cs="Arial"/>
                <w:sz w:val="24"/>
              </w:rPr>
            </w:pPr>
          </w:p>
        </w:tc>
      </w:tr>
      <w:tr w:rsidR="000C1080" w:rsidRPr="000C1080" w14:paraId="253EED4B" w14:textId="77777777" w:rsidTr="000C1080">
        <w:tc>
          <w:tcPr>
            <w:tcW w:w="9812" w:type="dxa"/>
          </w:tcPr>
          <w:p w14:paraId="4379BC4B" w14:textId="77777777" w:rsidR="000C1080" w:rsidRPr="000C1080" w:rsidRDefault="000C1080" w:rsidP="000C1080">
            <w:pPr>
              <w:rPr>
                <w:rFonts w:ascii="Arial" w:hAnsi="Arial" w:cs="Arial"/>
                <w:b/>
                <w:sz w:val="24"/>
              </w:rPr>
            </w:pPr>
            <w:r w:rsidRPr="000C1080">
              <w:rPr>
                <w:rFonts w:ascii="Arial" w:hAnsi="Arial" w:cs="Arial"/>
                <w:b/>
                <w:sz w:val="24"/>
              </w:rPr>
              <w:t>WARNING</w:t>
            </w:r>
          </w:p>
          <w:p w14:paraId="3039675B" w14:textId="77777777" w:rsidR="000C1080" w:rsidRPr="000C1080" w:rsidRDefault="000C1080" w:rsidP="000C1080">
            <w:pPr>
              <w:rPr>
                <w:rFonts w:ascii="Arial" w:hAnsi="Arial" w:cs="Arial"/>
                <w:b/>
                <w:sz w:val="24"/>
              </w:rPr>
            </w:pPr>
            <w:r w:rsidRPr="000C1080">
              <w:rPr>
                <w:rFonts w:ascii="Arial" w:hAnsi="Arial" w:cs="Arial"/>
                <w:b/>
                <w:sz w:val="24"/>
              </w:rPr>
              <w:t>THE RETURNS ON THIS INVESTMENT ACCOUNT WILL BE AFFECTED BY THE PERFORMANCE OF THE UNDERLYING ASSETS. THE PRINCIPAL AND RETURNS ARE NOT GUARANTEED AND CUSTOMER/INVESTMENT ACCOUNT HOLDER RISKS EARNING NO RETURNS AT ALL. THIS INVESTMENT ACCOUNT IS NOT INSURED BY PERBADANAN INSURANS DEPOSIT MALAYSIA (“PIDM”).</w:t>
            </w:r>
          </w:p>
        </w:tc>
      </w:tr>
      <w:tr w:rsidR="000C1080" w:rsidRPr="000C1080" w14:paraId="0D9C01C5" w14:textId="77777777" w:rsidTr="000C1080">
        <w:tc>
          <w:tcPr>
            <w:tcW w:w="9812" w:type="dxa"/>
          </w:tcPr>
          <w:p w14:paraId="7A222AE9" w14:textId="77777777" w:rsidR="004E0B1B" w:rsidRDefault="004E0B1B" w:rsidP="000D6CB9">
            <w:pPr>
              <w:rPr>
                <w:rFonts w:ascii="Arial" w:hAnsi="Arial" w:cs="Arial"/>
                <w:b/>
                <w:sz w:val="24"/>
              </w:rPr>
            </w:pPr>
          </w:p>
          <w:p w14:paraId="0BD53697" w14:textId="77777777" w:rsidR="000C1080" w:rsidRPr="000C1080" w:rsidRDefault="000C1080" w:rsidP="000D6CB9">
            <w:pPr>
              <w:rPr>
                <w:rFonts w:ascii="Arial" w:hAnsi="Arial" w:cs="Arial"/>
                <w:b/>
                <w:sz w:val="24"/>
              </w:rPr>
            </w:pPr>
            <w:r w:rsidRPr="000C1080">
              <w:rPr>
                <w:rFonts w:ascii="Arial" w:hAnsi="Arial" w:cs="Arial"/>
                <w:b/>
                <w:sz w:val="24"/>
              </w:rPr>
              <w:t xml:space="preserve">The information provided in this disclosure sheet is as at </w:t>
            </w:r>
            <w:r w:rsidRPr="000C1080">
              <w:rPr>
                <w:rFonts w:ascii="Arial" w:hAnsi="Arial" w:cs="Arial"/>
                <w:b/>
                <w:sz w:val="24"/>
                <w:highlight w:val="yellow"/>
              </w:rPr>
              <w:t>[  ].</w:t>
            </w:r>
          </w:p>
        </w:tc>
      </w:tr>
    </w:tbl>
    <w:p w14:paraId="34FC9DE9" w14:textId="77777777" w:rsidR="00B32577" w:rsidRDefault="00B32577"/>
    <w:sectPr w:rsidR="00B32577" w:rsidSect="003F3C50">
      <w:footerReference w:type="default" r:id="rId13"/>
      <w:pgSz w:w="11900" w:h="16840"/>
      <w:pgMar w:top="1008" w:right="1152" w:bottom="1008" w:left="1152"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nk Islam" w:date="2017-02-14T11:17:00Z" w:initials="BI">
    <w:p w14:paraId="5A42C816" w14:textId="77777777" w:rsidR="002219C1" w:rsidRDefault="002219C1">
      <w:pPr>
        <w:pStyle w:val="CommentText"/>
      </w:pPr>
      <w:r>
        <w:rPr>
          <w:rStyle w:val="CommentReference"/>
        </w:rPr>
        <w:annotationRef/>
      </w:r>
      <w:r>
        <w:t>The actual</w:t>
      </w:r>
      <w:r w:rsidR="0055009E">
        <w:t xml:space="preserve"> campaign period date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2C8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CE3C" w14:textId="77777777" w:rsidR="00B2096B" w:rsidRDefault="00B2096B" w:rsidP="00062F27">
      <w:r>
        <w:separator/>
      </w:r>
    </w:p>
  </w:endnote>
  <w:endnote w:type="continuationSeparator" w:id="0">
    <w:p w14:paraId="2969FDF7" w14:textId="77777777" w:rsidR="00B2096B" w:rsidRDefault="00B2096B" w:rsidP="0006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3E40" w14:textId="77777777" w:rsidR="00062F27" w:rsidRDefault="00B16BE5">
    <w:pPr>
      <w:pStyle w:val="Footer"/>
      <w:jc w:val="right"/>
    </w:pPr>
    <w:r>
      <w:fldChar w:fldCharType="begin"/>
    </w:r>
    <w:r>
      <w:instrText xml:space="preserve"> PAGE   \* MERGEFORMAT </w:instrText>
    </w:r>
    <w:r>
      <w:fldChar w:fldCharType="separate"/>
    </w:r>
    <w:r>
      <w:rPr>
        <w:noProof/>
      </w:rPr>
      <w:t>6</w:t>
    </w:r>
    <w:r>
      <w:rPr>
        <w:noProof/>
      </w:rPr>
      <w:fldChar w:fldCharType="end"/>
    </w:r>
  </w:p>
  <w:p w14:paraId="7D721B6D" w14:textId="77777777" w:rsidR="00062F27" w:rsidRDefault="00062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A71B" w14:textId="77777777" w:rsidR="00B2096B" w:rsidRDefault="00B2096B" w:rsidP="00062F27">
      <w:r>
        <w:separator/>
      </w:r>
    </w:p>
  </w:footnote>
  <w:footnote w:type="continuationSeparator" w:id="0">
    <w:p w14:paraId="61CE625D" w14:textId="77777777" w:rsidR="00B2096B" w:rsidRDefault="00B2096B" w:rsidP="00062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4DA3"/>
    <w:multiLevelType w:val="hybridMultilevel"/>
    <w:tmpl w:val="6100A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25C5"/>
    <w:multiLevelType w:val="hybridMultilevel"/>
    <w:tmpl w:val="FE3E2D60"/>
    <w:lvl w:ilvl="0" w:tplc="26748454">
      <w:start w:val="1"/>
      <w:numFmt w:val="lowerLetter"/>
      <w:lvlText w:val="(%1)"/>
      <w:lvlJc w:val="left"/>
      <w:pPr>
        <w:ind w:left="720" w:hanging="360"/>
      </w:pPr>
      <w:rPr>
        <w:rFonts w:ascii="Arial" w:hAnsi="Arial" w:cs="Arial" w:hint="default"/>
        <w:b w:val="0"/>
        <w:bCs w:val="0"/>
        <w:i w:val="0"/>
        <w:i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1D38"/>
    <w:multiLevelType w:val="hybridMultilevel"/>
    <w:tmpl w:val="38E4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E095D"/>
    <w:multiLevelType w:val="hybridMultilevel"/>
    <w:tmpl w:val="E606FB24"/>
    <w:lvl w:ilvl="0" w:tplc="43BCF8D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1D408D"/>
    <w:multiLevelType w:val="hybridMultilevel"/>
    <w:tmpl w:val="3AA89FC8"/>
    <w:lvl w:ilvl="0" w:tplc="C12A153E">
      <w:start w:val="7"/>
      <w:numFmt w:val="bullet"/>
      <w:lvlText w:val="-"/>
      <w:lvlJc w:val="left"/>
      <w:pPr>
        <w:ind w:left="720" w:hanging="360"/>
      </w:pPr>
      <w:rPr>
        <w:rFonts w:ascii="Century Gothic" w:eastAsia="Times New Roman" w:hAnsi="Century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765CF"/>
    <w:multiLevelType w:val="hybridMultilevel"/>
    <w:tmpl w:val="A84E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D15ED"/>
    <w:multiLevelType w:val="hybridMultilevel"/>
    <w:tmpl w:val="850ED5C0"/>
    <w:lvl w:ilvl="0" w:tplc="DBEA628A">
      <w:start w:val="1"/>
      <w:numFmt w:val="decimal"/>
      <w:lvlText w:val="%1."/>
      <w:lvlJc w:val="left"/>
      <w:pPr>
        <w:ind w:left="720" w:hanging="360"/>
      </w:pPr>
      <w:rPr>
        <w:b/>
        <w:color w:val="FFFF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01130"/>
    <w:multiLevelType w:val="hybridMultilevel"/>
    <w:tmpl w:val="E8CC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B1C9D"/>
    <w:multiLevelType w:val="hybridMultilevel"/>
    <w:tmpl w:val="F9EA3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1218"/>
    <w:multiLevelType w:val="hybridMultilevel"/>
    <w:tmpl w:val="81763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6A2F"/>
    <w:multiLevelType w:val="hybridMultilevel"/>
    <w:tmpl w:val="97DC7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96B3A"/>
    <w:multiLevelType w:val="hybridMultilevel"/>
    <w:tmpl w:val="3ED49B5A"/>
    <w:lvl w:ilvl="0" w:tplc="54F218E0">
      <w:start w:val="1"/>
      <w:numFmt w:val="lowerLetter"/>
      <w:lvlText w:val="(%1)"/>
      <w:lvlJc w:val="left"/>
      <w:pPr>
        <w:ind w:left="720" w:hanging="360"/>
      </w:pPr>
      <w:rPr>
        <w:rFonts w:ascii="Arial" w:hAnsi="Arial" w:cs="Arial" w:hint="default"/>
        <w:b w:val="0"/>
        <w:bCs w:val="0"/>
        <w:i w:val="0"/>
        <w:i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E47A5"/>
    <w:multiLevelType w:val="hybridMultilevel"/>
    <w:tmpl w:val="750CE6FC"/>
    <w:lvl w:ilvl="0" w:tplc="C12A153E">
      <w:start w:val="7"/>
      <w:numFmt w:val="bullet"/>
      <w:lvlText w:val="-"/>
      <w:lvlJc w:val="left"/>
      <w:pPr>
        <w:ind w:left="1062" w:hanging="360"/>
      </w:pPr>
      <w:rPr>
        <w:rFonts w:ascii="Century Gothic" w:eastAsia="Times New Roman" w:hAnsi="Century Gothic"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5C91505"/>
    <w:multiLevelType w:val="hybridMultilevel"/>
    <w:tmpl w:val="7D906E56"/>
    <w:lvl w:ilvl="0" w:tplc="0409000F">
      <w:start w:val="1"/>
      <w:numFmt w:val="decimal"/>
      <w:lvlText w:val="%1."/>
      <w:lvlJc w:val="left"/>
      <w:pPr>
        <w:ind w:left="360" w:hanging="360"/>
      </w:pPr>
    </w:lvl>
    <w:lvl w:ilvl="1" w:tplc="EEE6A06A">
      <w:start w:val="4"/>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5A4604"/>
    <w:multiLevelType w:val="hybridMultilevel"/>
    <w:tmpl w:val="26448980"/>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6E5865"/>
    <w:multiLevelType w:val="hybridMultilevel"/>
    <w:tmpl w:val="D772E4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D45967"/>
    <w:multiLevelType w:val="hybridMultilevel"/>
    <w:tmpl w:val="36A0F090"/>
    <w:lvl w:ilvl="0" w:tplc="6AB4D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67374"/>
    <w:multiLevelType w:val="hybridMultilevel"/>
    <w:tmpl w:val="C67A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337C0"/>
    <w:multiLevelType w:val="hybridMultilevel"/>
    <w:tmpl w:val="17DA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0A7372A"/>
    <w:multiLevelType w:val="hybridMultilevel"/>
    <w:tmpl w:val="1AD60B30"/>
    <w:lvl w:ilvl="0" w:tplc="DBEA628A">
      <w:start w:val="1"/>
      <w:numFmt w:val="decimal"/>
      <w:lvlText w:val="%1."/>
      <w:lvlJc w:val="left"/>
      <w:pPr>
        <w:ind w:left="720" w:hanging="360"/>
      </w:pPr>
      <w:rPr>
        <w:b/>
        <w:color w:val="FFFFFF"/>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F58DB"/>
    <w:multiLevelType w:val="hybridMultilevel"/>
    <w:tmpl w:val="082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22828"/>
    <w:multiLevelType w:val="hybridMultilevel"/>
    <w:tmpl w:val="F3C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66F70"/>
    <w:multiLevelType w:val="hybridMultilevel"/>
    <w:tmpl w:val="EDC2B264"/>
    <w:lvl w:ilvl="0" w:tplc="04090017">
      <w:start w:val="1"/>
      <w:numFmt w:val="lowerLetter"/>
      <w:lvlText w:val="%1)"/>
      <w:lvlJc w:val="left"/>
      <w:pPr>
        <w:ind w:left="720" w:hanging="360"/>
      </w:pPr>
      <w:rPr>
        <w:rFonts w:hint="default"/>
        <w:b w:val="0"/>
        <w:bCs w:val="0"/>
        <w:i w:val="0"/>
        <w:i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24816"/>
    <w:multiLevelType w:val="hybridMultilevel"/>
    <w:tmpl w:val="782EED2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C3EBE"/>
    <w:multiLevelType w:val="hybridMultilevel"/>
    <w:tmpl w:val="81763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5"/>
  </w:num>
  <w:num w:numId="5">
    <w:abstractNumId w:val="2"/>
  </w:num>
  <w:num w:numId="6">
    <w:abstractNumId w:val="6"/>
  </w:num>
  <w:num w:numId="7">
    <w:abstractNumId w:val="13"/>
  </w:num>
  <w:num w:numId="8">
    <w:abstractNumId w:val="20"/>
  </w:num>
  <w:num w:numId="9">
    <w:abstractNumId w:val="0"/>
  </w:num>
  <w:num w:numId="10">
    <w:abstractNumId w:val="10"/>
  </w:num>
  <w:num w:numId="11">
    <w:abstractNumId w:val="18"/>
  </w:num>
  <w:num w:numId="12">
    <w:abstractNumId w:val="15"/>
  </w:num>
  <w:num w:numId="13">
    <w:abstractNumId w:val="17"/>
  </w:num>
  <w:num w:numId="14">
    <w:abstractNumId w:val="24"/>
  </w:num>
  <w:num w:numId="15">
    <w:abstractNumId w:val="14"/>
  </w:num>
  <w:num w:numId="16">
    <w:abstractNumId w:val="9"/>
  </w:num>
  <w:num w:numId="17">
    <w:abstractNumId w:val="3"/>
  </w:num>
  <w:num w:numId="18">
    <w:abstractNumId w:val="19"/>
  </w:num>
  <w:num w:numId="19">
    <w:abstractNumId w:val="22"/>
  </w:num>
  <w:num w:numId="20">
    <w:abstractNumId w:val="21"/>
  </w:num>
  <w:num w:numId="21">
    <w:abstractNumId w:val="8"/>
  </w:num>
  <w:num w:numId="22">
    <w:abstractNumId w:val="23"/>
  </w:num>
  <w:num w:numId="23">
    <w:abstractNumId w:val="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50"/>
    <w:rsid w:val="00003BF6"/>
    <w:rsid w:val="00007EDF"/>
    <w:rsid w:val="000229E6"/>
    <w:rsid w:val="00062F27"/>
    <w:rsid w:val="000632CC"/>
    <w:rsid w:val="00065748"/>
    <w:rsid w:val="000A5203"/>
    <w:rsid w:val="000B6731"/>
    <w:rsid w:val="000C1080"/>
    <w:rsid w:val="000C2729"/>
    <w:rsid w:val="000C7F38"/>
    <w:rsid w:val="000E0A20"/>
    <w:rsid w:val="00103AA2"/>
    <w:rsid w:val="00121D98"/>
    <w:rsid w:val="001262CC"/>
    <w:rsid w:val="00144C58"/>
    <w:rsid w:val="00151CE9"/>
    <w:rsid w:val="001763B0"/>
    <w:rsid w:val="00195358"/>
    <w:rsid w:val="001B0087"/>
    <w:rsid w:val="001C4818"/>
    <w:rsid w:val="001C4B96"/>
    <w:rsid w:val="001C6FDB"/>
    <w:rsid w:val="001C73D7"/>
    <w:rsid w:val="001C7A1D"/>
    <w:rsid w:val="002060AD"/>
    <w:rsid w:val="002105F5"/>
    <w:rsid w:val="002219C1"/>
    <w:rsid w:val="00245758"/>
    <w:rsid w:val="00262F76"/>
    <w:rsid w:val="0026655A"/>
    <w:rsid w:val="00273183"/>
    <w:rsid w:val="00276F50"/>
    <w:rsid w:val="0028029E"/>
    <w:rsid w:val="002D22E9"/>
    <w:rsid w:val="002D5B2A"/>
    <w:rsid w:val="002E5AC9"/>
    <w:rsid w:val="002E75C7"/>
    <w:rsid w:val="002F54E5"/>
    <w:rsid w:val="00301667"/>
    <w:rsid w:val="00306716"/>
    <w:rsid w:val="00333D5B"/>
    <w:rsid w:val="00362175"/>
    <w:rsid w:val="00383AF2"/>
    <w:rsid w:val="00385AB7"/>
    <w:rsid w:val="00386210"/>
    <w:rsid w:val="0038701F"/>
    <w:rsid w:val="003921D8"/>
    <w:rsid w:val="003D20DC"/>
    <w:rsid w:val="003D2571"/>
    <w:rsid w:val="003D2728"/>
    <w:rsid w:val="003F3C50"/>
    <w:rsid w:val="003F6AE7"/>
    <w:rsid w:val="004071E2"/>
    <w:rsid w:val="0041436A"/>
    <w:rsid w:val="004309FB"/>
    <w:rsid w:val="0043136B"/>
    <w:rsid w:val="00455574"/>
    <w:rsid w:val="004708C1"/>
    <w:rsid w:val="00470A52"/>
    <w:rsid w:val="004756F3"/>
    <w:rsid w:val="00483343"/>
    <w:rsid w:val="004878C9"/>
    <w:rsid w:val="004A12E3"/>
    <w:rsid w:val="004A4869"/>
    <w:rsid w:val="004C61C3"/>
    <w:rsid w:val="004E0B1B"/>
    <w:rsid w:val="004E577D"/>
    <w:rsid w:val="004F3560"/>
    <w:rsid w:val="005259DF"/>
    <w:rsid w:val="00525EAB"/>
    <w:rsid w:val="00526AA0"/>
    <w:rsid w:val="00527E63"/>
    <w:rsid w:val="00543E5D"/>
    <w:rsid w:val="005476FC"/>
    <w:rsid w:val="0055009E"/>
    <w:rsid w:val="00572F23"/>
    <w:rsid w:val="00574E81"/>
    <w:rsid w:val="005A47FF"/>
    <w:rsid w:val="005B11B0"/>
    <w:rsid w:val="005B6BE4"/>
    <w:rsid w:val="005C3881"/>
    <w:rsid w:val="005F1AF5"/>
    <w:rsid w:val="00607581"/>
    <w:rsid w:val="0062482A"/>
    <w:rsid w:val="00650A7B"/>
    <w:rsid w:val="00663AA1"/>
    <w:rsid w:val="00676AEA"/>
    <w:rsid w:val="006957F5"/>
    <w:rsid w:val="006B7EE9"/>
    <w:rsid w:val="006C7267"/>
    <w:rsid w:val="006E4B39"/>
    <w:rsid w:val="006E5487"/>
    <w:rsid w:val="006E7655"/>
    <w:rsid w:val="006F21ED"/>
    <w:rsid w:val="00712E62"/>
    <w:rsid w:val="0071464F"/>
    <w:rsid w:val="00726903"/>
    <w:rsid w:val="007625EE"/>
    <w:rsid w:val="00775656"/>
    <w:rsid w:val="00782DD0"/>
    <w:rsid w:val="00796D87"/>
    <w:rsid w:val="007B5B7E"/>
    <w:rsid w:val="007C427B"/>
    <w:rsid w:val="007F3146"/>
    <w:rsid w:val="007F3573"/>
    <w:rsid w:val="007F7B20"/>
    <w:rsid w:val="008047FE"/>
    <w:rsid w:val="00826B5B"/>
    <w:rsid w:val="008317E1"/>
    <w:rsid w:val="00833A5D"/>
    <w:rsid w:val="00834DF7"/>
    <w:rsid w:val="0084485C"/>
    <w:rsid w:val="008459CC"/>
    <w:rsid w:val="00881F22"/>
    <w:rsid w:val="008B460B"/>
    <w:rsid w:val="00904379"/>
    <w:rsid w:val="009307C5"/>
    <w:rsid w:val="00946CCD"/>
    <w:rsid w:val="00953DC5"/>
    <w:rsid w:val="00956684"/>
    <w:rsid w:val="00990632"/>
    <w:rsid w:val="009B0BF4"/>
    <w:rsid w:val="009C432D"/>
    <w:rsid w:val="009C4BB4"/>
    <w:rsid w:val="009F1562"/>
    <w:rsid w:val="00A12C4E"/>
    <w:rsid w:val="00A32DBB"/>
    <w:rsid w:val="00A34E93"/>
    <w:rsid w:val="00A41924"/>
    <w:rsid w:val="00A45215"/>
    <w:rsid w:val="00A50586"/>
    <w:rsid w:val="00A5061B"/>
    <w:rsid w:val="00A61408"/>
    <w:rsid w:val="00A63890"/>
    <w:rsid w:val="00A965FF"/>
    <w:rsid w:val="00AA36AC"/>
    <w:rsid w:val="00AB1521"/>
    <w:rsid w:val="00AD2088"/>
    <w:rsid w:val="00AD7AC3"/>
    <w:rsid w:val="00AE0077"/>
    <w:rsid w:val="00AE2F6A"/>
    <w:rsid w:val="00AE34ED"/>
    <w:rsid w:val="00AF2026"/>
    <w:rsid w:val="00AF3A04"/>
    <w:rsid w:val="00AF4604"/>
    <w:rsid w:val="00AF4AF2"/>
    <w:rsid w:val="00B00BA9"/>
    <w:rsid w:val="00B04439"/>
    <w:rsid w:val="00B16BE5"/>
    <w:rsid w:val="00B2096B"/>
    <w:rsid w:val="00B32577"/>
    <w:rsid w:val="00B50AE8"/>
    <w:rsid w:val="00B63086"/>
    <w:rsid w:val="00B6412A"/>
    <w:rsid w:val="00B713EF"/>
    <w:rsid w:val="00B76610"/>
    <w:rsid w:val="00BA69D6"/>
    <w:rsid w:val="00BD0B18"/>
    <w:rsid w:val="00BE486E"/>
    <w:rsid w:val="00C07359"/>
    <w:rsid w:val="00C50A9E"/>
    <w:rsid w:val="00C62839"/>
    <w:rsid w:val="00C75F02"/>
    <w:rsid w:val="00CB0C10"/>
    <w:rsid w:val="00CB6428"/>
    <w:rsid w:val="00CD32CC"/>
    <w:rsid w:val="00CE1EF2"/>
    <w:rsid w:val="00D00983"/>
    <w:rsid w:val="00D2124A"/>
    <w:rsid w:val="00D30606"/>
    <w:rsid w:val="00D446A3"/>
    <w:rsid w:val="00D61B31"/>
    <w:rsid w:val="00D73E79"/>
    <w:rsid w:val="00D761F3"/>
    <w:rsid w:val="00DD0555"/>
    <w:rsid w:val="00DF441C"/>
    <w:rsid w:val="00E07AFE"/>
    <w:rsid w:val="00E128B5"/>
    <w:rsid w:val="00E12D73"/>
    <w:rsid w:val="00E436E4"/>
    <w:rsid w:val="00E462C0"/>
    <w:rsid w:val="00E60B8B"/>
    <w:rsid w:val="00E62FC8"/>
    <w:rsid w:val="00E93717"/>
    <w:rsid w:val="00EB0524"/>
    <w:rsid w:val="00EB1CDE"/>
    <w:rsid w:val="00EB588D"/>
    <w:rsid w:val="00EC3786"/>
    <w:rsid w:val="00EC4F52"/>
    <w:rsid w:val="00F01F60"/>
    <w:rsid w:val="00F12440"/>
    <w:rsid w:val="00F322B6"/>
    <w:rsid w:val="00F36BB5"/>
    <w:rsid w:val="00F4764B"/>
    <w:rsid w:val="00F51084"/>
    <w:rsid w:val="00F56D47"/>
    <w:rsid w:val="00F82518"/>
    <w:rsid w:val="00FA2714"/>
    <w:rsid w:val="00FE38A7"/>
    <w:rsid w:val="00FE4C32"/>
    <w:rsid w:val="00FF08C7"/>
    <w:rsid w:val="00F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7B953"/>
  <w15:docId w15:val="{19CF7F9E-704B-4133-B374-594C22B8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2E3"/>
    <w:pPr>
      <w:ind w:left="720"/>
      <w:contextualSpacing/>
    </w:pPr>
  </w:style>
  <w:style w:type="table" w:styleId="MediumGrid1-Accent2">
    <w:name w:val="Medium Grid 1 Accent 2"/>
    <w:basedOn w:val="TableNormal"/>
    <w:uiPriority w:val="67"/>
    <w:rsid w:val="00EB052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Hyperlink">
    <w:name w:val="Hyperlink"/>
    <w:basedOn w:val="DefaultParagraphFont"/>
    <w:uiPriority w:val="99"/>
    <w:unhideWhenUsed/>
    <w:rsid w:val="008047FE"/>
    <w:rPr>
      <w:color w:val="0000FF"/>
      <w:u w:val="single"/>
    </w:rPr>
  </w:style>
  <w:style w:type="paragraph" w:styleId="NormalWeb">
    <w:name w:val="Normal (Web)"/>
    <w:basedOn w:val="Normal"/>
    <w:uiPriority w:val="99"/>
    <w:unhideWhenUsed/>
    <w:rsid w:val="00525EA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43E5D"/>
    <w:rPr>
      <w:rFonts w:ascii="Tahoma" w:hAnsi="Tahoma" w:cs="Tahoma"/>
      <w:sz w:val="16"/>
      <w:szCs w:val="16"/>
    </w:rPr>
  </w:style>
  <w:style w:type="character" w:customStyle="1" w:styleId="BalloonTextChar">
    <w:name w:val="Balloon Text Char"/>
    <w:basedOn w:val="DefaultParagraphFont"/>
    <w:link w:val="BalloonText"/>
    <w:uiPriority w:val="99"/>
    <w:semiHidden/>
    <w:rsid w:val="00543E5D"/>
    <w:rPr>
      <w:rFonts w:ascii="Tahoma" w:hAnsi="Tahoma" w:cs="Tahoma"/>
      <w:sz w:val="16"/>
      <w:szCs w:val="16"/>
    </w:rPr>
  </w:style>
  <w:style w:type="paragraph" w:styleId="Header">
    <w:name w:val="header"/>
    <w:basedOn w:val="Normal"/>
    <w:link w:val="HeaderChar"/>
    <w:uiPriority w:val="99"/>
    <w:rsid w:val="007625EE"/>
    <w:pPr>
      <w:tabs>
        <w:tab w:val="center" w:pos="4320"/>
        <w:tab w:val="right" w:pos="8640"/>
      </w:tabs>
      <w:spacing w:before="120" w:line="360" w:lineRule="auto"/>
      <w:jc w:val="both"/>
    </w:pPr>
    <w:rPr>
      <w:rFonts w:ascii="Times New Roman" w:hAnsi="Times New Roman"/>
      <w:sz w:val="20"/>
      <w:szCs w:val="20"/>
    </w:rPr>
  </w:style>
  <w:style w:type="character" w:customStyle="1" w:styleId="HeaderChar">
    <w:name w:val="Header Char"/>
    <w:basedOn w:val="DefaultParagraphFont"/>
    <w:link w:val="Header"/>
    <w:uiPriority w:val="99"/>
    <w:rsid w:val="007625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2F27"/>
    <w:pPr>
      <w:tabs>
        <w:tab w:val="center" w:pos="4680"/>
        <w:tab w:val="right" w:pos="9360"/>
      </w:tabs>
    </w:pPr>
  </w:style>
  <w:style w:type="character" w:customStyle="1" w:styleId="FooterChar">
    <w:name w:val="Footer Char"/>
    <w:basedOn w:val="DefaultParagraphFont"/>
    <w:link w:val="Footer"/>
    <w:uiPriority w:val="99"/>
    <w:rsid w:val="00062F27"/>
    <w:rPr>
      <w:sz w:val="22"/>
      <w:szCs w:val="22"/>
    </w:rPr>
  </w:style>
  <w:style w:type="character" w:styleId="CommentReference">
    <w:name w:val="annotation reference"/>
    <w:basedOn w:val="DefaultParagraphFont"/>
    <w:uiPriority w:val="99"/>
    <w:semiHidden/>
    <w:unhideWhenUsed/>
    <w:rsid w:val="00DF441C"/>
    <w:rPr>
      <w:sz w:val="16"/>
      <w:szCs w:val="16"/>
    </w:rPr>
  </w:style>
  <w:style w:type="paragraph" w:styleId="CommentText">
    <w:name w:val="annotation text"/>
    <w:basedOn w:val="Normal"/>
    <w:link w:val="CommentTextChar"/>
    <w:uiPriority w:val="99"/>
    <w:semiHidden/>
    <w:unhideWhenUsed/>
    <w:rsid w:val="00DF441C"/>
    <w:rPr>
      <w:sz w:val="20"/>
      <w:szCs w:val="20"/>
    </w:rPr>
  </w:style>
  <w:style w:type="character" w:customStyle="1" w:styleId="CommentTextChar">
    <w:name w:val="Comment Text Char"/>
    <w:basedOn w:val="DefaultParagraphFont"/>
    <w:link w:val="CommentText"/>
    <w:uiPriority w:val="99"/>
    <w:semiHidden/>
    <w:rsid w:val="00DF441C"/>
  </w:style>
  <w:style w:type="paragraph" w:styleId="CommentSubject">
    <w:name w:val="annotation subject"/>
    <w:basedOn w:val="CommentText"/>
    <w:next w:val="CommentText"/>
    <w:link w:val="CommentSubjectChar"/>
    <w:uiPriority w:val="99"/>
    <w:semiHidden/>
    <w:unhideWhenUsed/>
    <w:rsid w:val="00DF441C"/>
    <w:rPr>
      <w:b/>
      <w:bCs/>
    </w:rPr>
  </w:style>
  <w:style w:type="character" w:customStyle="1" w:styleId="CommentSubjectChar">
    <w:name w:val="Comment Subject Char"/>
    <w:basedOn w:val="CommentTextChar"/>
    <w:link w:val="CommentSubject"/>
    <w:uiPriority w:val="99"/>
    <w:semiHidden/>
    <w:rsid w:val="00DF4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nmtelelink@bnm.gov.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hannel@bankislam.com.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ap.business@bankislam.com.m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FE2622-2149-4DE3-9219-88D1C9C5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HSK</Company>
  <LinksUpToDate>false</LinksUpToDate>
  <CharactersWithSpaces>12193</CharactersWithSpaces>
  <SharedDoc>false</SharedDoc>
  <HLinks>
    <vt:vector size="18" baseType="variant">
      <vt:variant>
        <vt:i4>1835135</vt:i4>
      </vt:variant>
      <vt:variant>
        <vt:i4>6</vt:i4>
      </vt:variant>
      <vt:variant>
        <vt:i4>0</vt:i4>
      </vt:variant>
      <vt:variant>
        <vt:i4>5</vt:i4>
      </vt:variant>
      <vt:variant>
        <vt:lpwstr>mailto:bnmtelelink@bnm.gov.my</vt:lpwstr>
      </vt:variant>
      <vt:variant>
        <vt:lpwstr/>
      </vt:variant>
      <vt:variant>
        <vt:i4>6750229</vt:i4>
      </vt:variant>
      <vt:variant>
        <vt:i4>3</vt:i4>
      </vt:variant>
      <vt:variant>
        <vt:i4>0</vt:i4>
      </vt:variant>
      <vt:variant>
        <vt:i4>5</vt:i4>
      </vt:variant>
      <vt:variant>
        <vt:lpwstr>mailto:feedbackchannel@bankislam.com.my</vt:lpwstr>
      </vt:variant>
      <vt:variant>
        <vt:lpwstr/>
      </vt:variant>
      <vt:variant>
        <vt:i4>3735560</vt:i4>
      </vt:variant>
      <vt:variant>
        <vt:i4>0</vt:i4>
      </vt:variant>
      <vt:variant>
        <vt:i4>0</vt:i4>
      </vt:variant>
      <vt:variant>
        <vt:i4>5</vt:i4>
      </vt:variant>
      <vt:variant>
        <vt:lpwstr>mailto:iap.business@bankislam.com.my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Shuhaimi Ismail</dc:creator>
  <cp:lastModifiedBy>Yusni Yunus - Mgr, SME Banking Division</cp:lastModifiedBy>
  <cp:revision>2</cp:revision>
  <cp:lastPrinted>2019-01-31T05:43:00Z</cp:lastPrinted>
  <dcterms:created xsi:type="dcterms:W3CDTF">2019-01-31T09:48:00Z</dcterms:created>
  <dcterms:modified xsi:type="dcterms:W3CDTF">2019-01-31T09:48:00Z</dcterms:modified>
</cp:coreProperties>
</file>